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46" w:rsidRPr="00AE1775" w:rsidRDefault="00B95746" w:rsidP="00B95746">
      <w:pPr>
        <w:pStyle w:val="Heading7"/>
        <w:rPr>
          <w:rFonts w:ascii="Times New Roman" w:hAnsi="Times New Roman"/>
          <w:b/>
          <w:lang w:val="sr-Cyrl-CS"/>
        </w:rPr>
      </w:pPr>
      <w:r w:rsidRPr="00512046">
        <w:rPr>
          <w:rFonts w:ascii="Times New Roman" w:hAnsi="Times New Roman"/>
          <w:b/>
          <w:lang w:val="ru-RU"/>
        </w:rPr>
        <w:t>ДЗ</w:t>
      </w:r>
      <w:r w:rsidRPr="00AE1775">
        <w:rPr>
          <w:rFonts w:ascii="Times New Roman" w:hAnsi="Times New Roman"/>
          <w:b/>
          <w:lang w:val="sr-Cyrl-CS"/>
        </w:rPr>
        <w:t xml:space="preserve"> «ДР МИЛОРАД</w:t>
      </w:r>
      <w:r w:rsidRPr="00AE1775">
        <w:rPr>
          <w:rFonts w:ascii="Times New Roman" w:hAnsi="Times New Roman"/>
          <w:lang w:val="sr-Cyrl-CS"/>
        </w:rPr>
        <w:t>-</w:t>
      </w:r>
      <w:r w:rsidRPr="00AE1775">
        <w:rPr>
          <w:rFonts w:ascii="Times New Roman" w:hAnsi="Times New Roman"/>
          <w:b/>
          <w:lang w:val="sr-Cyrl-CS"/>
        </w:rPr>
        <w:t>МИКА ПАВЛОВИЋ»</w:t>
      </w:r>
    </w:p>
    <w:p w:rsidR="00B95746" w:rsidRPr="00512046" w:rsidRDefault="00B95746" w:rsidP="00B95746">
      <w:pPr>
        <w:rPr>
          <w:b/>
          <w:lang w:val="sr-Cyrl-CS"/>
        </w:rPr>
      </w:pPr>
      <w:r w:rsidRPr="00512046">
        <w:rPr>
          <w:b/>
          <w:lang w:val="ru-RU"/>
        </w:rPr>
        <w:t>И</w:t>
      </w:r>
      <w:r>
        <w:rPr>
          <w:b/>
          <w:lang w:val="ru-RU"/>
        </w:rPr>
        <w:t xml:space="preserve">НЂИЈА, </w:t>
      </w:r>
      <w:r w:rsidRPr="00512046">
        <w:rPr>
          <w:b/>
          <w:lang w:val="sr-Cyrl-CS"/>
        </w:rPr>
        <w:t>Српскоцрквена 5</w:t>
      </w:r>
    </w:p>
    <w:p w:rsidR="00B95746" w:rsidRPr="00AE1775" w:rsidRDefault="00B95746" w:rsidP="00B95746">
      <w:pPr>
        <w:jc w:val="both"/>
        <w:rPr>
          <w:lang w:val="sr-Cyrl-CS"/>
        </w:rPr>
      </w:pPr>
      <w:r>
        <w:rPr>
          <w:lang w:val="ru-RU"/>
        </w:rPr>
        <w:t xml:space="preserve">Број: </w:t>
      </w:r>
      <w:r w:rsidRPr="00EE7BB6">
        <w:rPr>
          <w:lang w:val="sr-Latn-CS"/>
        </w:rPr>
        <w:t>0</w:t>
      </w:r>
      <w:r w:rsidRPr="00EE7BB6">
        <w:rPr>
          <w:lang w:val="sr-Cyrl-CS"/>
        </w:rPr>
        <w:t>1.</w:t>
      </w:r>
      <w:r w:rsidR="007D1487">
        <w:rPr>
          <w:lang w:val="sr-Latn-CS"/>
        </w:rPr>
        <w:t>5</w:t>
      </w:r>
      <w:r w:rsidRPr="00EE7BB6">
        <w:rPr>
          <w:lang w:val="sr-Latn-CS"/>
        </w:rPr>
        <w:t>-</w:t>
      </w:r>
      <w:r>
        <w:rPr>
          <w:lang w:val="sr-Cyrl-CS"/>
        </w:rPr>
        <w:t>1</w:t>
      </w:r>
      <w:r w:rsidR="00E743B7">
        <w:rPr>
          <w:lang w:val="sr-Latn-CS"/>
        </w:rPr>
        <w:t>5</w:t>
      </w:r>
      <w:r w:rsidRPr="00EE7BB6">
        <w:rPr>
          <w:lang w:val="sr-Latn-CS"/>
        </w:rPr>
        <w:t>-</w:t>
      </w:r>
      <w:r w:rsidR="00E743B7">
        <w:rPr>
          <w:lang w:val="sr-Latn-CS"/>
        </w:rPr>
        <w:t>10</w:t>
      </w:r>
      <w:r w:rsidRPr="00EE7BB6">
        <w:rPr>
          <w:lang w:val="sr-Latn-CS"/>
        </w:rPr>
        <w:t>/</w:t>
      </w:r>
      <w:r w:rsidRPr="00EE7BB6">
        <w:t>20</w:t>
      </w:r>
      <w:r w:rsidRPr="00EE7BB6">
        <w:rPr>
          <w:lang w:val="sr-Cyrl-CS"/>
        </w:rPr>
        <w:t>13</w:t>
      </w:r>
    </w:p>
    <w:p w:rsidR="00B95746" w:rsidRPr="00464A4A" w:rsidRDefault="00B95746" w:rsidP="00B95746">
      <w:pPr>
        <w:rPr>
          <w:lang w:val="sr-Cyrl-CS"/>
        </w:rPr>
      </w:pPr>
      <w:r w:rsidRPr="00AE1775">
        <w:rPr>
          <w:lang w:val="sr-Cyrl-CS"/>
        </w:rPr>
        <w:t>Дана</w:t>
      </w:r>
      <w:r w:rsidRPr="00464A4A">
        <w:rPr>
          <w:lang w:val="sr-Cyrl-CS"/>
        </w:rPr>
        <w:t xml:space="preserve">, </w:t>
      </w:r>
      <w:r w:rsidR="00E743B7">
        <w:t>08</w:t>
      </w:r>
      <w:r w:rsidRPr="00464A4A">
        <w:rPr>
          <w:lang w:val="sr-Latn-CS"/>
        </w:rPr>
        <w:t>.</w:t>
      </w:r>
      <w:r w:rsidR="00E743B7">
        <w:rPr>
          <w:lang w:val="sr-Latn-CS"/>
        </w:rPr>
        <w:t>10</w:t>
      </w:r>
      <w:r w:rsidRPr="00464A4A">
        <w:rPr>
          <w:lang w:val="sr-Cyrl-CS"/>
        </w:rPr>
        <w:t>.2013. године</w:t>
      </w:r>
    </w:p>
    <w:p w:rsidR="00B95746" w:rsidRDefault="00B95746" w:rsidP="00B95746">
      <w:pPr>
        <w:jc w:val="both"/>
      </w:pPr>
      <w:r w:rsidRPr="00464A4A">
        <w:rPr>
          <w:lang w:val="ru-RU"/>
        </w:rPr>
        <w:t>Тел. 022/561-28</w:t>
      </w:r>
      <w:r w:rsidRPr="00464A4A">
        <w:rPr>
          <w:lang w:val="sr-Latn-CS"/>
        </w:rPr>
        <w:t>2</w:t>
      </w:r>
    </w:p>
    <w:p w:rsidR="00B95746" w:rsidRPr="007E472E" w:rsidRDefault="00B95746" w:rsidP="00B95746">
      <w:pPr>
        <w:rPr>
          <w:b/>
          <w:lang w:val="sr-Cyrl-CS"/>
        </w:rPr>
      </w:pPr>
    </w:p>
    <w:p w:rsidR="00B95746" w:rsidRPr="00754D4B" w:rsidRDefault="00B95746" w:rsidP="00B95746">
      <w:pPr>
        <w:pStyle w:val="Heading7"/>
        <w:ind w:firstLine="720"/>
        <w:jc w:val="both"/>
        <w:rPr>
          <w:rFonts w:ascii="Times New Roman" w:hAnsi="Times New Roman"/>
          <w:lang w:val="sr-Cyrl-CS"/>
        </w:rPr>
      </w:pPr>
      <w:r w:rsidRPr="00754D4B">
        <w:rPr>
          <w:rFonts w:ascii="Times New Roman" w:hAnsi="Times New Roman"/>
          <w:lang w:val="sr-Cyrl-CS"/>
        </w:rPr>
        <w:t xml:space="preserve">На основу члана 108. </w:t>
      </w:r>
      <w:r w:rsidR="00544EE6">
        <w:rPr>
          <w:rFonts w:ascii="Times New Roman" w:hAnsi="Times New Roman"/>
          <w:lang w:val="sr-Cyrl-CS"/>
        </w:rPr>
        <w:t xml:space="preserve">Став 1. </w:t>
      </w:r>
      <w:r w:rsidRPr="00754D4B">
        <w:rPr>
          <w:rFonts w:ascii="Times New Roman" w:hAnsi="Times New Roman"/>
          <w:lang w:val="sr-Cyrl-CS"/>
        </w:rPr>
        <w:t>Закона о јавним набавкама («Сл. гласник РС»  број 124/12</w:t>
      </w:r>
      <w:r w:rsidR="007D1487" w:rsidRPr="00754D4B">
        <w:rPr>
          <w:rFonts w:ascii="Times New Roman" w:hAnsi="Times New Roman"/>
          <w:lang w:val="sr-Cyrl-CS"/>
        </w:rPr>
        <w:t>),</w:t>
      </w:r>
      <w:r w:rsidR="007D1487" w:rsidRPr="00754D4B">
        <w:rPr>
          <w:rFonts w:ascii="Times New Roman" w:hAnsi="Times New Roman"/>
          <w:lang w:val="sr-Latn-CS"/>
        </w:rPr>
        <w:t xml:space="preserve"> </w:t>
      </w:r>
      <w:r w:rsidR="00B47297">
        <w:rPr>
          <w:rFonts w:ascii="Times New Roman" w:hAnsi="Times New Roman"/>
          <w:lang w:val="sr-Cyrl-CS"/>
        </w:rPr>
        <w:t xml:space="preserve">и </w:t>
      </w:r>
      <w:r w:rsidR="00544EE6">
        <w:rPr>
          <w:rFonts w:ascii="Times New Roman" w:hAnsi="Times New Roman"/>
          <w:lang w:val="sr-Cyrl-CS"/>
        </w:rPr>
        <w:t xml:space="preserve">извештаја о стручној оцени понуда </w:t>
      </w:r>
      <w:r w:rsidR="007D1487" w:rsidRPr="00754D4B">
        <w:rPr>
          <w:rFonts w:ascii="Times New Roman" w:hAnsi="Times New Roman"/>
          <w:lang w:val="sr-Cyrl-CS"/>
        </w:rPr>
        <w:t>Комисије за ЈН</w:t>
      </w:r>
      <w:r w:rsidR="00544EE6">
        <w:rPr>
          <w:rFonts w:ascii="Times New Roman" w:hAnsi="Times New Roman"/>
          <w:lang w:val="sr-Cyrl-CS"/>
        </w:rPr>
        <w:t xml:space="preserve"> број 01.5-1</w:t>
      </w:r>
      <w:r w:rsidR="00E743B7">
        <w:rPr>
          <w:rFonts w:ascii="Times New Roman" w:hAnsi="Times New Roman"/>
          <w:lang w:val="sr-Latn-CS"/>
        </w:rPr>
        <w:t>5</w:t>
      </w:r>
      <w:r w:rsidR="00544EE6">
        <w:rPr>
          <w:rFonts w:ascii="Times New Roman" w:hAnsi="Times New Roman"/>
          <w:lang w:val="sr-Cyrl-CS"/>
        </w:rPr>
        <w:t>-</w:t>
      </w:r>
      <w:r w:rsidR="00E743B7">
        <w:rPr>
          <w:rFonts w:ascii="Times New Roman" w:hAnsi="Times New Roman"/>
          <w:lang w:val="sr-Latn-CS"/>
        </w:rPr>
        <w:t>9</w:t>
      </w:r>
      <w:r w:rsidR="00544EE6">
        <w:rPr>
          <w:rFonts w:ascii="Times New Roman" w:hAnsi="Times New Roman"/>
          <w:lang w:val="sr-Cyrl-CS"/>
        </w:rPr>
        <w:t>/2013</w:t>
      </w:r>
      <w:r w:rsidR="00002E4C">
        <w:rPr>
          <w:rFonts w:ascii="Times New Roman" w:hAnsi="Times New Roman"/>
          <w:lang w:val="sr-Cyrl-CS"/>
        </w:rPr>
        <w:t xml:space="preserve"> </w:t>
      </w:r>
      <w:r w:rsidR="00544EE6">
        <w:rPr>
          <w:rFonts w:ascii="Times New Roman" w:hAnsi="Times New Roman"/>
          <w:lang w:val="sr-Cyrl-CS"/>
        </w:rPr>
        <w:t xml:space="preserve">од </w:t>
      </w:r>
      <w:r w:rsidR="00E743B7">
        <w:rPr>
          <w:rFonts w:ascii="Times New Roman" w:hAnsi="Times New Roman"/>
          <w:lang w:val="sr-Latn-CS"/>
        </w:rPr>
        <w:t>07</w:t>
      </w:r>
      <w:r w:rsidR="00544EE6">
        <w:rPr>
          <w:rFonts w:ascii="Times New Roman" w:hAnsi="Times New Roman"/>
          <w:lang w:val="sr-Cyrl-CS"/>
        </w:rPr>
        <w:t>.</w:t>
      </w:r>
      <w:r w:rsidR="00E743B7">
        <w:rPr>
          <w:rFonts w:ascii="Times New Roman" w:hAnsi="Times New Roman"/>
          <w:lang w:val="sr-Latn-CS"/>
        </w:rPr>
        <w:t>10</w:t>
      </w:r>
      <w:r w:rsidR="00544EE6">
        <w:rPr>
          <w:rFonts w:ascii="Times New Roman" w:hAnsi="Times New Roman"/>
          <w:lang w:val="sr-Cyrl-CS"/>
        </w:rPr>
        <w:t>.2013.године</w:t>
      </w:r>
      <w:r w:rsidR="007D1487" w:rsidRPr="00754D4B">
        <w:rPr>
          <w:rFonts w:ascii="Times New Roman" w:hAnsi="Times New Roman"/>
          <w:color w:val="222222"/>
          <w:lang w:val="sr-Cyrl-CS"/>
        </w:rPr>
        <w:t xml:space="preserve">, </w:t>
      </w:r>
      <w:r w:rsidRPr="00754D4B">
        <w:rPr>
          <w:rFonts w:ascii="Times New Roman" w:hAnsi="Times New Roman"/>
          <w:lang w:val="sr-Cyrl-CS"/>
        </w:rPr>
        <w:t>директор ДЗ «Др Милорад</w:t>
      </w:r>
      <w:r w:rsidRPr="00754D4B">
        <w:rPr>
          <w:rFonts w:ascii="Times New Roman" w:hAnsi="Times New Roman"/>
          <w:lang w:val="sr-Latn-CS"/>
        </w:rPr>
        <w:t xml:space="preserve"> </w:t>
      </w:r>
      <w:r w:rsidRPr="00754D4B">
        <w:rPr>
          <w:rFonts w:ascii="Times New Roman" w:hAnsi="Times New Roman"/>
          <w:lang w:val="sr-Cyrl-CS"/>
        </w:rPr>
        <w:t>-</w:t>
      </w:r>
      <w:r w:rsidRPr="00754D4B">
        <w:rPr>
          <w:rFonts w:ascii="Times New Roman" w:hAnsi="Times New Roman"/>
          <w:lang w:val="sr-Latn-CS"/>
        </w:rPr>
        <w:t xml:space="preserve"> </w:t>
      </w:r>
      <w:r w:rsidRPr="00754D4B">
        <w:rPr>
          <w:rFonts w:ascii="Times New Roman" w:hAnsi="Times New Roman"/>
          <w:lang w:val="sr-Cyrl-CS"/>
        </w:rPr>
        <w:t>Мика Павловић» из Инђије</w:t>
      </w:r>
      <w:r w:rsidRPr="00754D4B">
        <w:rPr>
          <w:rFonts w:ascii="Times New Roman" w:hAnsi="Times New Roman"/>
        </w:rPr>
        <w:t xml:space="preserve"> </w:t>
      </w:r>
      <w:r w:rsidRPr="00754D4B">
        <w:rPr>
          <w:rFonts w:ascii="Times New Roman" w:hAnsi="Times New Roman"/>
          <w:lang w:val="sr-Cyrl-CS"/>
        </w:rPr>
        <w:t xml:space="preserve"> доноси</w:t>
      </w:r>
      <w:r w:rsidRPr="00754D4B">
        <w:rPr>
          <w:rFonts w:ascii="Times New Roman" w:hAnsi="Times New Roman"/>
        </w:rPr>
        <w:t xml:space="preserve"> </w:t>
      </w:r>
      <w:r w:rsidRPr="00754D4B">
        <w:rPr>
          <w:rFonts w:ascii="Times New Roman" w:hAnsi="Times New Roman"/>
          <w:lang w:val="sr-Cyrl-CS"/>
        </w:rPr>
        <w:t xml:space="preserve">следећу </w:t>
      </w:r>
    </w:p>
    <w:p w:rsidR="00B95746" w:rsidRDefault="00B95746" w:rsidP="00B95746">
      <w:pPr>
        <w:ind w:firstLine="720"/>
        <w:jc w:val="both"/>
        <w:rPr>
          <w:lang w:val="sr-Cyrl-CS"/>
        </w:rPr>
      </w:pPr>
    </w:p>
    <w:p w:rsidR="00B95746" w:rsidRDefault="00B95746" w:rsidP="00B95746">
      <w:pPr>
        <w:jc w:val="center"/>
        <w:rPr>
          <w:b/>
          <w:lang w:val="sr-Cyrl-CS"/>
        </w:rPr>
      </w:pPr>
      <w:r>
        <w:rPr>
          <w:b/>
          <w:lang w:val="sr-Cyrl-CS"/>
        </w:rPr>
        <w:t>О Д Л У К У</w:t>
      </w:r>
    </w:p>
    <w:p w:rsidR="00B95746" w:rsidRPr="007267AB" w:rsidRDefault="00B95746" w:rsidP="00B95746">
      <w:pPr>
        <w:jc w:val="center"/>
        <w:rPr>
          <w:b/>
          <w:lang w:val="sr-Cyrl-CS"/>
        </w:rPr>
      </w:pPr>
      <w:r>
        <w:rPr>
          <w:b/>
          <w:lang w:val="sr-Cyrl-CS"/>
        </w:rPr>
        <w:t>о додели уговора</w:t>
      </w:r>
      <w:r w:rsidR="007D1487">
        <w:rPr>
          <w:b/>
          <w:lang w:val="sr-Cyrl-CS"/>
        </w:rPr>
        <w:t xml:space="preserve"> у ППБОЈП </w:t>
      </w:r>
      <w:r w:rsidR="00E743B7">
        <w:rPr>
          <w:b/>
          <w:lang w:val="sr-Cyrl-CS"/>
        </w:rPr>
        <w:t>број 1</w:t>
      </w:r>
      <w:r w:rsidR="00E743B7">
        <w:rPr>
          <w:b/>
          <w:lang w:val="sr-Latn-CS"/>
        </w:rPr>
        <w:t>5</w:t>
      </w:r>
      <w:r w:rsidR="007267AB">
        <w:rPr>
          <w:b/>
          <w:lang w:val="sr-Cyrl-CS"/>
        </w:rPr>
        <w:t>/2013</w:t>
      </w:r>
    </w:p>
    <w:p w:rsidR="00B95746" w:rsidRDefault="00B95746" w:rsidP="00B95746">
      <w:pPr>
        <w:jc w:val="center"/>
        <w:rPr>
          <w:b/>
          <w:lang w:val="sr-Cyrl-CS"/>
        </w:rPr>
      </w:pPr>
    </w:p>
    <w:p w:rsidR="007D1487" w:rsidRDefault="002D6304" w:rsidP="002D6304">
      <w:pPr>
        <w:ind w:firstLine="708"/>
        <w:jc w:val="both"/>
        <w:rPr>
          <w:lang w:val="sr-Cyrl-CS"/>
        </w:rPr>
      </w:pPr>
      <w:r>
        <w:rPr>
          <w:b/>
          <w:lang w:val="sr-Cyrl-CS"/>
        </w:rPr>
        <w:t xml:space="preserve">УГОВОР ЗА ЈАВНУ НАБАВКУ </w:t>
      </w:r>
      <w:r w:rsidRPr="007D1487">
        <w:rPr>
          <w:b/>
          <w:lang w:val="sr-Cyrl-CS"/>
        </w:rPr>
        <w:t xml:space="preserve">Лекова листа А и А1/РФЗО, </w:t>
      </w:r>
      <w:r>
        <w:rPr>
          <w:b/>
          <w:lang w:val="sr-Cyrl-CS"/>
        </w:rPr>
        <w:t>СЕ ДОДЕЉУЈЕ  ПОНУЂАЧУ</w:t>
      </w:r>
      <w:r w:rsidR="000A1473">
        <w:rPr>
          <w:lang w:val="sr-Cyrl-CS"/>
        </w:rPr>
        <w:t>:</w:t>
      </w:r>
      <w:r w:rsidR="007D1487">
        <w:rPr>
          <w:lang w:val="sr-Cyrl-CS"/>
        </w:rPr>
        <w:t xml:space="preserve"> </w:t>
      </w:r>
      <w:r w:rsidR="00B95746" w:rsidRPr="002634DA">
        <w:rPr>
          <w:lang w:val="sr-Cyrl-CS"/>
        </w:rPr>
        <w:t xml:space="preserve"> </w:t>
      </w:r>
    </w:p>
    <w:p w:rsidR="000D4425" w:rsidRPr="000D4425" w:rsidRDefault="00E743B7" w:rsidP="00E24DFE">
      <w:pPr>
        <w:pStyle w:val="ListParagraph"/>
        <w:numPr>
          <w:ilvl w:val="0"/>
          <w:numId w:val="1"/>
        </w:numPr>
        <w:ind w:left="1134" w:right="-432" w:hanging="414"/>
        <w:jc w:val="both"/>
        <w:rPr>
          <w:lang w:val="sr-Cyrl-CS"/>
        </w:rPr>
      </w:pPr>
      <w:r w:rsidRPr="000D4425">
        <w:rPr>
          <w:b/>
          <w:lang w:val="sr-Cyrl-CS"/>
        </w:rPr>
        <w:t xml:space="preserve"> </w:t>
      </w:r>
      <w:r w:rsidR="000D4425" w:rsidRPr="000D4425">
        <w:rPr>
          <w:b/>
          <w:lang w:val="sr-Cyrl-CS"/>
        </w:rPr>
        <w:t>„</w:t>
      </w:r>
      <w:r w:rsidR="000D4425" w:rsidRPr="000D4425">
        <w:rPr>
          <w:b/>
        </w:rPr>
        <w:t>PHOENIX PHARMA</w:t>
      </w:r>
      <w:r w:rsidR="000D4425" w:rsidRPr="000D4425">
        <w:rPr>
          <w:lang w:val="sr-Cyrl-CS"/>
        </w:rPr>
        <w:t>“ Д.О.О. БЕОГРАД ЗА ПАРТИЈЕ:</w:t>
      </w:r>
      <w:r w:rsidR="000D4425">
        <w:t xml:space="preserve">, </w:t>
      </w:r>
      <w:r>
        <w:rPr>
          <w:b/>
          <w:sz w:val="22"/>
          <w:szCs w:val="22"/>
          <w:lang w:val="sr-Cyrl-CS"/>
        </w:rPr>
        <w:t>1,2,4,5,6,7,8,10,11,12,13,14,15,16,17,18</w:t>
      </w:r>
      <w:r w:rsidR="000D4425">
        <w:t xml:space="preserve"> </w:t>
      </w:r>
      <w:r w:rsidR="000D4425" w:rsidRPr="000D4425">
        <w:rPr>
          <w:lang w:val="sr-Cyrl-CS"/>
        </w:rPr>
        <w:t>на осно</w:t>
      </w:r>
      <w:r w:rsidR="00E24DFE">
        <w:rPr>
          <w:lang w:val="sr-Cyrl-CS"/>
        </w:rPr>
        <w:t>ву понуде број 01.5-1</w:t>
      </w:r>
      <w:r>
        <w:rPr>
          <w:lang w:val="sr-Latn-CS"/>
        </w:rPr>
        <w:t>5</w:t>
      </w:r>
      <w:r w:rsidR="00E24DFE">
        <w:rPr>
          <w:lang w:val="sr-Cyrl-CS"/>
        </w:rPr>
        <w:t>-</w:t>
      </w:r>
      <w:r>
        <w:rPr>
          <w:lang w:val="sr-Latn-CS"/>
        </w:rPr>
        <w:t>7</w:t>
      </w:r>
      <w:r w:rsidR="00E24DFE">
        <w:rPr>
          <w:lang w:val="sr-Cyrl-CS"/>
        </w:rPr>
        <w:t>/2013 од</w:t>
      </w:r>
      <w:r w:rsidR="000D4425" w:rsidRPr="000D4425">
        <w:rPr>
          <w:lang w:val="sr-Cyrl-CS"/>
        </w:rPr>
        <w:t xml:space="preserve"> </w:t>
      </w:r>
      <w:r>
        <w:rPr>
          <w:lang w:val="sr-Latn-CS"/>
        </w:rPr>
        <w:t>07</w:t>
      </w:r>
      <w:r w:rsidR="000D4425" w:rsidRPr="000D4425">
        <w:rPr>
          <w:lang w:val="sr-Cyrl-CS"/>
        </w:rPr>
        <w:t>.</w:t>
      </w:r>
      <w:r>
        <w:rPr>
          <w:lang w:val="sr-Latn-CS"/>
        </w:rPr>
        <w:t>10</w:t>
      </w:r>
      <w:r w:rsidR="000D4425" w:rsidRPr="000D4425">
        <w:rPr>
          <w:lang w:val="sr-Cyrl-CS"/>
        </w:rPr>
        <w:t>.2013.године</w:t>
      </w:r>
    </w:p>
    <w:p w:rsidR="00002E4C" w:rsidRPr="00002E4C" w:rsidRDefault="00002E4C" w:rsidP="00002E4C">
      <w:pPr>
        <w:pStyle w:val="ListParagraph"/>
        <w:numPr>
          <w:ilvl w:val="0"/>
          <w:numId w:val="1"/>
        </w:numPr>
        <w:ind w:right="-432"/>
        <w:jc w:val="both"/>
        <w:rPr>
          <w:b/>
          <w:lang w:val="sr-Cyrl-CS"/>
        </w:rPr>
      </w:pPr>
      <w:r w:rsidRPr="00A71DF5">
        <w:rPr>
          <w:b/>
          <w:lang w:val="sr-Cyrl-CS"/>
        </w:rPr>
        <w:t>„ЕРМА</w:t>
      </w:r>
      <w:r>
        <w:rPr>
          <w:lang w:val="sr-Cyrl-CS"/>
        </w:rPr>
        <w:t xml:space="preserve"> </w:t>
      </w:r>
      <w:r w:rsidRPr="00002E4C">
        <w:rPr>
          <w:lang w:val="sr-Cyrl-CS"/>
        </w:rPr>
        <w:t>„</w:t>
      </w:r>
      <w:r>
        <w:rPr>
          <w:lang w:val="sr-Cyrl-CS"/>
        </w:rPr>
        <w:t xml:space="preserve"> Д.О.О. БЕОГРАД ЗА ПАРТИЈУ 3</w:t>
      </w:r>
    </w:p>
    <w:p w:rsidR="00002E4C" w:rsidRPr="00A71DF5" w:rsidRDefault="00002E4C" w:rsidP="00002E4C">
      <w:pPr>
        <w:pStyle w:val="ListParagraph"/>
        <w:numPr>
          <w:ilvl w:val="0"/>
          <w:numId w:val="1"/>
        </w:numPr>
        <w:ind w:right="-432"/>
        <w:jc w:val="both"/>
        <w:rPr>
          <w:b/>
          <w:lang w:val="sr-Cyrl-CS"/>
        </w:rPr>
      </w:pPr>
      <w:r w:rsidRPr="00A71DF5">
        <w:rPr>
          <w:b/>
          <w:lang w:val="sr-Cyrl-CS"/>
        </w:rPr>
        <w:t>„ВЕГА</w:t>
      </w:r>
      <w:r w:rsidRPr="00A71DF5">
        <w:rPr>
          <w:lang w:val="sr-Cyrl-CS"/>
        </w:rPr>
        <w:t>“  Д.О.О. ВАЉЕВО ЗА ПАРТИЈУ 9</w:t>
      </w:r>
      <w:r w:rsidR="00A71DF5" w:rsidRPr="00A71DF5">
        <w:rPr>
          <w:lang w:val="sr-Cyrl-CS"/>
        </w:rPr>
        <w:t>.</w:t>
      </w:r>
    </w:p>
    <w:p w:rsidR="00A71DF5" w:rsidRPr="00A71DF5" w:rsidRDefault="00A71DF5" w:rsidP="00A71DF5">
      <w:pPr>
        <w:pStyle w:val="ListParagraph"/>
        <w:ind w:left="1080" w:right="-432"/>
        <w:jc w:val="both"/>
        <w:rPr>
          <w:b/>
          <w:lang w:val="sr-Cyrl-CS"/>
        </w:rPr>
      </w:pPr>
    </w:p>
    <w:p w:rsidR="00B95746" w:rsidRPr="00002E4C" w:rsidRDefault="00002E4C" w:rsidP="00002E4C">
      <w:pPr>
        <w:ind w:right="-432"/>
        <w:jc w:val="both"/>
        <w:rPr>
          <w:b/>
          <w:lang w:val="sr-Cyrl-CS"/>
        </w:rPr>
      </w:pPr>
      <w:r>
        <w:rPr>
          <w:b/>
          <w:lang w:val="sr-Cyrl-CS"/>
        </w:rPr>
        <w:t xml:space="preserve">   </w:t>
      </w:r>
      <w:r>
        <w:rPr>
          <w:b/>
          <w:lang w:val="sr-Cyrl-CS"/>
        </w:rPr>
        <w:tab/>
      </w:r>
      <w:r w:rsidR="00544EE6" w:rsidRPr="00002E4C">
        <w:rPr>
          <w:b/>
          <w:lang w:val="sr-Cyrl-CS"/>
        </w:rPr>
        <w:t>Понуђач</w:t>
      </w:r>
      <w:r>
        <w:rPr>
          <w:b/>
          <w:lang w:val="sr-Cyrl-CS"/>
        </w:rPr>
        <w:t>и</w:t>
      </w:r>
      <w:r w:rsidR="00E743B7" w:rsidRPr="00002E4C">
        <w:rPr>
          <w:b/>
          <w:lang w:val="sr-Cyrl-CS"/>
        </w:rPr>
        <w:t xml:space="preserve"> набавку извршав</w:t>
      </w:r>
      <w:r>
        <w:rPr>
          <w:b/>
          <w:lang w:val="sr-Cyrl-CS"/>
        </w:rPr>
        <w:t>ју</w:t>
      </w:r>
      <w:r w:rsidR="00544EE6" w:rsidRPr="00002E4C">
        <w:rPr>
          <w:b/>
          <w:lang w:val="sr-Cyrl-CS"/>
        </w:rPr>
        <w:t xml:space="preserve"> самостално. </w:t>
      </w:r>
    </w:p>
    <w:p w:rsidR="00544EE6" w:rsidRDefault="00544EE6" w:rsidP="00B95746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>Период важења уговора :</w:t>
      </w:r>
      <w:r w:rsidR="00E24DFE">
        <w:rPr>
          <w:b/>
          <w:lang w:val="sr-Cyrl-CS"/>
        </w:rPr>
        <w:t xml:space="preserve"> </w:t>
      </w:r>
      <w:r>
        <w:rPr>
          <w:b/>
          <w:lang w:val="sr-Cyrl-CS"/>
        </w:rPr>
        <w:t>до испуњења уговорених обавеза.</w:t>
      </w:r>
    </w:p>
    <w:p w:rsidR="000A1473" w:rsidRDefault="000A1473" w:rsidP="003D2CEB">
      <w:pPr>
        <w:jc w:val="center"/>
        <w:rPr>
          <w:b/>
          <w:lang w:val="sr-Cyrl-CS"/>
        </w:rPr>
      </w:pPr>
    </w:p>
    <w:p w:rsidR="00B95746" w:rsidRDefault="00B95746" w:rsidP="003D2CEB">
      <w:pPr>
        <w:jc w:val="center"/>
        <w:rPr>
          <w:b/>
          <w:lang w:val="sr-Cyrl-CS"/>
        </w:rPr>
      </w:pPr>
      <w:r>
        <w:rPr>
          <w:b/>
          <w:lang w:val="sr-Cyrl-CS"/>
        </w:rPr>
        <w:t>О б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р а з л о ж е њ е</w:t>
      </w:r>
    </w:p>
    <w:p w:rsidR="00E24DFE" w:rsidRDefault="00E24DFE" w:rsidP="003D2CEB">
      <w:pPr>
        <w:jc w:val="center"/>
        <w:rPr>
          <w:b/>
          <w:lang w:val="sr-Cyrl-CS"/>
        </w:rPr>
      </w:pPr>
    </w:p>
    <w:p w:rsidR="00E743B7" w:rsidRDefault="00B95746" w:rsidP="00E743B7">
      <w:pPr>
        <w:ind w:firstLine="708"/>
        <w:jc w:val="both"/>
        <w:rPr>
          <w:color w:val="222222"/>
          <w:sz w:val="22"/>
          <w:szCs w:val="22"/>
          <w:lang w:val="sr-Cyrl-CS"/>
        </w:rPr>
      </w:pPr>
      <w:r w:rsidRPr="00CF4A96">
        <w:rPr>
          <w:lang w:val="sr-Cyrl-CS"/>
        </w:rPr>
        <w:t xml:space="preserve">Наручилац је дана </w:t>
      </w:r>
      <w:r w:rsidR="00E743B7">
        <w:rPr>
          <w:lang w:val="sr-Latn-CS"/>
        </w:rPr>
        <w:t>30</w:t>
      </w:r>
      <w:r>
        <w:rPr>
          <w:lang w:val="sr-Latn-CS"/>
        </w:rPr>
        <w:t>.</w:t>
      </w:r>
      <w:r w:rsidR="007D1487">
        <w:rPr>
          <w:lang w:val="sr-Cyrl-CS"/>
        </w:rPr>
        <w:t>0</w:t>
      </w:r>
      <w:r w:rsidR="00E743B7">
        <w:rPr>
          <w:lang w:val="sr-Latn-CS"/>
        </w:rPr>
        <w:t>9</w:t>
      </w:r>
      <w:r>
        <w:rPr>
          <w:lang w:val="sr-Cyrl-CS"/>
        </w:rPr>
        <w:t>.</w:t>
      </w:r>
      <w:r w:rsidRPr="00CF4A96">
        <w:rPr>
          <w:lang w:val="sr-Cyrl-CS"/>
        </w:rPr>
        <w:t>201</w:t>
      </w:r>
      <w:r>
        <w:rPr>
          <w:lang w:val="sr-Cyrl-CS"/>
        </w:rPr>
        <w:t>3</w:t>
      </w:r>
      <w:r w:rsidRPr="00CF4A96">
        <w:rPr>
          <w:lang w:val="sr-Cyrl-CS"/>
        </w:rPr>
        <w:t xml:space="preserve">. године донео </w:t>
      </w:r>
      <w:r w:rsidR="00E743B7">
        <w:rPr>
          <w:lang w:val="sr-Latn-CS"/>
        </w:rPr>
        <w:t>O</w:t>
      </w:r>
      <w:r w:rsidRPr="00CF4A96">
        <w:rPr>
          <w:lang w:val="sr-Cyrl-CS"/>
        </w:rPr>
        <w:t xml:space="preserve">длуку о покретању </w:t>
      </w:r>
      <w:r w:rsidR="00E743B7">
        <w:rPr>
          <w:lang w:val="sr-Cyrl-CS"/>
        </w:rPr>
        <w:t>ППБОЈП број 1</w:t>
      </w:r>
      <w:r w:rsidR="00E743B7">
        <w:rPr>
          <w:lang w:val="sr-Latn-CS"/>
        </w:rPr>
        <w:t>5</w:t>
      </w:r>
      <w:r w:rsidR="00754D4B">
        <w:rPr>
          <w:lang w:val="sr-Cyrl-CS"/>
        </w:rPr>
        <w:t>/2013, з</w:t>
      </w:r>
      <w:r w:rsidR="007D1487">
        <w:rPr>
          <w:lang w:val="sr-Cyrl-CS"/>
        </w:rPr>
        <w:t xml:space="preserve">а јавну набавку </w:t>
      </w:r>
      <w:r w:rsidR="007D1487" w:rsidRPr="007D1487">
        <w:rPr>
          <w:lang w:val="sr-Cyrl-CS"/>
        </w:rPr>
        <w:t xml:space="preserve">добара </w:t>
      </w:r>
      <w:r w:rsidR="007D1487" w:rsidRPr="007D1487">
        <w:rPr>
          <w:b/>
          <w:lang w:val="sr-Cyrl-CS"/>
        </w:rPr>
        <w:t xml:space="preserve">набавка Лекова листа А и А1/РФЗО, </w:t>
      </w:r>
      <w:r w:rsidR="00E743B7">
        <w:rPr>
          <w:lang w:val="sr-Cyrl-CS"/>
        </w:rPr>
        <w:t xml:space="preserve">обликовану у </w:t>
      </w:r>
      <w:r w:rsidR="00E743B7">
        <w:rPr>
          <w:lang w:val="sr-Latn-CS"/>
        </w:rPr>
        <w:t>1</w:t>
      </w:r>
      <w:r w:rsidR="00754D4B" w:rsidRPr="00754D4B">
        <w:rPr>
          <w:lang w:val="sr-Cyrl-CS"/>
        </w:rPr>
        <w:t xml:space="preserve">8 </w:t>
      </w:r>
      <w:r w:rsidR="00B21DD1" w:rsidRPr="00754D4B">
        <w:rPr>
          <w:lang w:val="sr-Cyrl-CS"/>
        </w:rPr>
        <w:t>партија</w:t>
      </w:r>
      <w:r w:rsidR="00B21DD1">
        <w:rPr>
          <w:lang w:val="sr-Latn-CS"/>
        </w:rPr>
        <w:t xml:space="preserve">, </w:t>
      </w:r>
      <w:r w:rsidR="00B21DD1">
        <w:rPr>
          <w:lang w:val="sr-Cyrl-CS"/>
        </w:rPr>
        <w:t xml:space="preserve">а на основу </w:t>
      </w:r>
      <w:r w:rsidR="00754D4B">
        <w:rPr>
          <w:lang w:val="sr-Cyrl-CS"/>
        </w:rPr>
        <w:t>послатог захтева Управи</w:t>
      </w:r>
      <w:r w:rsidR="00B21DD1">
        <w:rPr>
          <w:lang w:val="sr-Cyrl-CS"/>
        </w:rPr>
        <w:t xml:space="preserve"> за ЈН Београд</w:t>
      </w:r>
      <w:r w:rsidR="00E743B7">
        <w:rPr>
          <w:lang w:val="sr-Cyrl-CS"/>
        </w:rPr>
        <w:t xml:space="preserve"> који су уредно примили </w:t>
      </w:r>
      <w:r w:rsidR="00E743B7">
        <w:rPr>
          <w:lang w:val="sr-Latn-CS"/>
        </w:rPr>
        <w:t>19</w:t>
      </w:r>
      <w:r w:rsidR="00754D4B">
        <w:rPr>
          <w:lang w:val="sr-Cyrl-CS"/>
        </w:rPr>
        <w:t>.0</w:t>
      </w:r>
      <w:r w:rsidR="00E743B7">
        <w:rPr>
          <w:lang w:val="sr-Latn-CS"/>
        </w:rPr>
        <w:t>9</w:t>
      </w:r>
      <w:r w:rsidR="00754D4B">
        <w:rPr>
          <w:lang w:val="sr-Cyrl-CS"/>
        </w:rPr>
        <w:t>.2013.године</w:t>
      </w:r>
      <w:r w:rsidR="00E24DFE">
        <w:rPr>
          <w:lang w:val="sr-Cyrl-CS"/>
        </w:rPr>
        <w:t>,</w:t>
      </w:r>
      <w:r w:rsidR="00754D4B">
        <w:rPr>
          <w:lang w:val="sr-Cyrl-CS"/>
        </w:rPr>
        <w:t xml:space="preserve"> </w:t>
      </w:r>
      <w:r w:rsidR="00E743B7">
        <w:rPr>
          <w:sz w:val="22"/>
          <w:szCs w:val="22"/>
          <w:lang w:val="sr-Cyrl-CS"/>
        </w:rPr>
        <w:t xml:space="preserve">а </w:t>
      </w:r>
      <w:r w:rsidR="00E743B7" w:rsidRPr="00605BBF">
        <w:rPr>
          <w:sz w:val="22"/>
          <w:szCs w:val="22"/>
          <w:lang w:val="sr-Cyrl-CS"/>
        </w:rPr>
        <w:t xml:space="preserve"> сходно </w:t>
      </w:r>
      <w:r w:rsidR="00E743B7" w:rsidRPr="00605BBF">
        <w:rPr>
          <w:color w:val="222222"/>
          <w:sz w:val="22"/>
          <w:szCs w:val="22"/>
          <w:lang w:val="sr-Cyrl-CS"/>
        </w:rPr>
        <w:t xml:space="preserve"> Одлуци о обустави поступка обајвљену на Порталу ЈН и интернет страници наручиоца, дана 30</w:t>
      </w:r>
      <w:r w:rsidR="00E743B7">
        <w:rPr>
          <w:color w:val="222222"/>
          <w:sz w:val="22"/>
          <w:szCs w:val="22"/>
          <w:lang w:val="sr-Cyrl-CS"/>
        </w:rPr>
        <w:t xml:space="preserve">.09.2013.године </w:t>
      </w:r>
      <w:r w:rsidR="00E743B7" w:rsidRPr="00605BBF">
        <w:rPr>
          <w:color w:val="222222"/>
          <w:sz w:val="22"/>
          <w:szCs w:val="22"/>
          <w:lang w:val="sr-Cyrl-CS"/>
        </w:rPr>
        <w:t xml:space="preserve">за претходни ППБОЈП број 14/2013 године од 24.09.2013.године, пошто </w:t>
      </w:r>
      <w:r w:rsidR="00E743B7">
        <w:rPr>
          <w:color w:val="222222"/>
          <w:sz w:val="22"/>
          <w:szCs w:val="22"/>
          <w:lang w:val="sr-Cyrl-CS"/>
        </w:rPr>
        <w:t xml:space="preserve">Наручиоц није добио </w:t>
      </w:r>
      <w:r w:rsidR="00E743B7" w:rsidRPr="00605BBF">
        <w:rPr>
          <w:color w:val="222222"/>
          <w:sz w:val="22"/>
          <w:szCs w:val="22"/>
          <w:lang w:val="sr-Cyrl-CS"/>
        </w:rPr>
        <w:t>ни једну понуду која је благовремена и прихватљива</w:t>
      </w:r>
      <w:r w:rsidR="00E743B7">
        <w:rPr>
          <w:color w:val="222222"/>
          <w:sz w:val="22"/>
          <w:szCs w:val="22"/>
          <w:lang w:val="sr-Cyrl-CS"/>
        </w:rPr>
        <w:t>.</w:t>
      </w:r>
    </w:p>
    <w:p w:rsidR="007D1487" w:rsidRPr="00E24DFE" w:rsidRDefault="007D1487" w:rsidP="00E24DFE">
      <w:pPr>
        <w:ind w:right="-574" w:firstLine="708"/>
        <w:jc w:val="both"/>
        <w:rPr>
          <w:lang w:val="sr-Latn-CS"/>
        </w:rPr>
      </w:pPr>
      <w:r>
        <w:rPr>
          <w:lang w:val="sr-Cyrl-CS"/>
        </w:rPr>
        <w:t>Обавештење о покретању ППБОЈП за подношење понуда обј</w:t>
      </w:r>
      <w:r w:rsidR="00754D4B">
        <w:rPr>
          <w:lang w:val="sr-Cyrl-CS"/>
        </w:rPr>
        <w:t>а</w:t>
      </w:r>
      <w:r>
        <w:rPr>
          <w:lang w:val="sr-Cyrl-CS"/>
        </w:rPr>
        <w:t>в</w:t>
      </w:r>
      <w:r w:rsidR="00B21DD1">
        <w:rPr>
          <w:lang w:val="sr-Cyrl-CS"/>
        </w:rPr>
        <w:t>љено</w:t>
      </w:r>
      <w:r w:rsidR="00754D4B">
        <w:rPr>
          <w:lang w:val="sr-Cyrl-CS"/>
        </w:rPr>
        <w:t xml:space="preserve"> је на Порталу ЈН дана </w:t>
      </w:r>
      <w:r w:rsidR="00E743B7">
        <w:rPr>
          <w:lang w:val="sr-Latn-CS"/>
        </w:rPr>
        <w:t>30</w:t>
      </w:r>
      <w:r>
        <w:rPr>
          <w:lang w:val="sr-Cyrl-CS"/>
        </w:rPr>
        <w:t>.0</w:t>
      </w:r>
      <w:r w:rsidR="00E743B7">
        <w:rPr>
          <w:lang w:val="sr-Latn-CS"/>
        </w:rPr>
        <w:t>9</w:t>
      </w:r>
      <w:r w:rsidR="00754D4B">
        <w:rPr>
          <w:lang w:val="sr-Cyrl-CS"/>
        </w:rPr>
        <w:t>.2013.године,</w:t>
      </w:r>
      <w:r>
        <w:rPr>
          <w:lang w:val="sr-Cyrl-CS"/>
        </w:rPr>
        <w:t xml:space="preserve"> на сајту Дома здравља Инђија</w:t>
      </w:r>
      <w:r w:rsidR="00754D4B">
        <w:rPr>
          <w:lang w:val="sr-Cyrl-CS"/>
        </w:rPr>
        <w:t xml:space="preserve"> и прослеђено потенцијалним понуђачима</w:t>
      </w:r>
      <w:r>
        <w:rPr>
          <w:lang w:val="sr-Cyrl-CS"/>
        </w:rPr>
        <w:t>.</w:t>
      </w:r>
      <w:r w:rsidR="00754D4B">
        <w:rPr>
          <w:lang w:val="sr-Cyrl-CS"/>
        </w:rPr>
        <w:t>Јавно</w:t>
      </w:r>
      <w:r w:rsidR="00E743B7">
        <w:rPr>
          <w:lang w:val="sr-Cyrl-CS"/>
        </w:rPr>
        <w:t xml:space="preserve"> отварање понуда је било </w:t>
      </w:r>
      <w:r w:rsidR="00E743B7">
        <w:rPr>
          <w:lang w:val="sr-Latn-CS"/>
        </w:rPr>
        <w:t>07</w:t>
      </w:r>
      <w:r w:rsidR="00754D4B">
        <w:rPr>
          <w:lang w:val="sr-Cyrl-CS"/>
        </w:rPr>
        <w:t>.</w:t>
      </w:r>
      <w:r w:rsidR="00E743B7">
        <w:rPr>
          <w:lang w:val="sr-Latn-CS"/>
        </w:rPr>
        <w:t>10</w:t>
      </w:r>
      <w:r>
        <w:rPr>
          <w:lang w:val="sr-Cyrl-CS"/>
        </w:rPr>
        <w:t>.2013.године</w:t>
      </w:r>
      <w:r w:rsidR="00B21DD1">
        <w:rPr>
          <w:lang w:val="sr-Cyrl-CS"/>
        </w:rPr>
        <w:t>, а Преговарање</w:t>
      </w:r>
      <w:r w:rsidR="00E743B7">
        <w:rPr>
          <w:lang w:val="sr-Latn-CS"/>
        </w:rPr>
        <w:t xml:space="preserve"> </w:t>
      </w:r>
      <w:r w:rsidR="00E743B7">
        <w:rPr>
          <w:lang w:val="sr-Cyrl-CS"/>
        </w:rPr>
        <w:t>истог</w:t>
      </w:r>
      <w:r w:rsidR="00B21DD1">
        <w:rPr>
          <w:lang w:val="sr-Cyrl-CS"/>
        </w:rPr>
        <w:t xml:space="preserve"> дана </w:t>
      </w:r>
      <w:r w:rsidR="00E743B7">
        <w:rPr>
          <w:lang w:val="sr-Latn-CS"/>
        </w:rPr>
        <w:t>07</w:t>
      </w:r>
      <w:r w:rsidR="00754D4B">
        <w:rPr>
          <w:lang w:val="sr-Cyrl-CS"/>
        </w:rPr>
        <w:t>.</w:t>
      </w:r>
      <w:r w:rsidR="00E743B7">
        <w:rPr>
          <w:lang w:val="sr-Latn-CS"/>
        </w:rPr>
        <w:t>10</w:t>
      </w:r>
      <w:r w:rsidR="00B21DD1">
        <w:rPr>
          <w:lang w:val="sr-Cyrl-CS"/>
        </w:rPr>
        <w:t>.2013.године.</w:t>
      </w:r>
      <w:r>
        <w:rPr>
          <w:lang w:val="sr-Cyrl-CS"/>
        </w:rPr>
        <w:t xml:space="preserve"> Након спроведеног преговарачког поступка Комисија за ЈН је приступила стручној оцени понуде и сачинила извештај о истом.</w:t>
      </w:r>
      <w:r w:rsidR="00BB4EAF">
        <w:rPr>
          <w:lang w:val="sr-Cyrl-CS"/>
        </w:rPr>
        <w:t xml:space="preserve"> </w:t>
      </w:r>
    </w:p>
    <w:p w:rsidR="00152899" w:rsidRDefault="00152899" w:rsidP="00E24DFE">
      <w:pPr>
        <w:ind w:right="-432" w:firstLine="720"/>
        <w:jc w:val="both"/>
        <w:rPr>
          <w:lang w:val="sr-Cyrl-CS"/>
        </w:rPr>
      </w:pPr>
      <w:r>
        <w:rPr>
          <w:lang w:val="sr-Cyrl-CS"/>
        </w:rPr>
        <w:t xml:space="preserve">У извештају о стучној оцени понуда број </w:t>
      </w:r>
      <w:r w:rsidR="00E24DFE">
        <w:rPr>
          <w:lang w:val="sr-Cyrl-CS"/>
        </w:rPr>
        <w:t>01.5-1</w:t>
      </w:r>
      <w:r w:rsidR="00E743B7">
        <w:rPr>
          <w:lang w:val="sr-Cyrl-CS"/>
        </w:rPr>
        <w:t>5</w:t>
      </w:r>
      <w:r w:rsidR="00E24DFE">
        <w:rPr>
          <w:lang w:val="sr-Cyrl-CS"/>
        </w:rPr>
        <w:t>-</w:t>
      </w:r>
      <w:r w:rsidR="00E743B7">
        <w:rPr>
          <w:lang w:val="sr-Cyrl-CS"/>
        </w:rPr>
        <w:t>9</w:t>
      </w:r>
      <w:r>
        <w:rPr>
          <w:lang w:val="sr-Cyrl-CS"/>
        </w:rPr>
        <w:t>/2013.године , Комисија за ЈН је констатовала следеће :</w:t>
      </w:r>
    </w:p>
    <w:p w:rsidR="00152899" w:rsidRDefault="00152899" w:rsidP="00E24DFE">
      <w:pPr>
        <w:numPr>
          <w:ilvl w:val="0"/>
          <w:numId w:val="2"/>
        </w:numPr>
        <w:ind w:right="-432"/>
        <w:jc w:val="both"/>
        <w:rPr>
          <w:lang w:val="sr-Cyrl-CS"/>
        </w:rPr>
      </w:pPr>
      <w:r>
        <w:rPr>
          <w:lang w:val="sr-Cyrl-CS"/>
        </w:rPr>
        <w:t>ПРЕДМЕТ ЈАВНЕ НАБАВКЕ</w:t>
      </w:r>
    </w:p>
    <w:p w:rsidR="00152899" w:rsidRDefault="00152899" w:rsidP="00E24DFE">
      <w:pPr>
        <w:ind w:right="-432"/>
        <w:jc w:val="both"/>
        <w:rPr>
          <w:lang w:val="sr-Cyrl-CS"/>
        </w:rPr>
      </w:pPr>
      <w:r>
        <w:rPr>
          <w:lang w:val="sr-Cyrl-CS"/>
        </w:rPr>
        <w:t xml:space="preserve">Предмет јавне набавке мале вредности су </w:t>
      </w:r>
      <w:r w:rsidRPr="00BB4EAF">
        <w:rPr>
          <w:b/>
          <w:lang w:val="sr-Cyrl-CS"/>
        </w:rPr>
        <w:t>добра</w:t>
      </w:r>
      <w:r w:rsidRPr="009A5611">
        <w:rPr>
          <w:lang w:val="sr-Cyrl-CS"/>
        </w:rPr>
        <w:t xml:space="preserve"> – </w:t>
      </w:r>
      <w:r w:rsidRPr="007D1487">
        <w:rPr>
          <w:b/>
          <w:lang w:val="sr-Cyrl-CS"/>
        </w:rPr>
        <w:t xml:space="preserve">набавка Лекова листа А и А1/РФЗО, </w:t>
      </w:r>
      <w:r w:rsidR="00754D4B">
        <w:rPr>
          <w:lang w:val="sr-Cyrl-CS"/>
        </w:rPr>
        <w:t>обликован</w:t>
      </w:r>
      <w:r w:rsidR="00E743B7">
        <w:rPr>
          <w:lang w:val="sr-Cyrl-CS"/>
        </w:rPr>
        <w:t>а</w:t>
      </w:r>
      <w:r w:rsidR="00754D4B">
        <w:rPr>
          <w:lang w:val="sr-Cyrl-CS"/>
        </w:rPr>
        <w:t xml:space="preserve"> у </w:t>
      </w:r>
      <w:r w:rsidR="00E743B7">
        <w:rPr>
          <w:lang w:val="sr-Cyrl-CS"/>
        </w:rPr>
        <w:t>1</w:t>
      </w:r>
      <w:r w:rsidR="00754D4B">
        <w:rPr>
          <w:lang w:val="sr-Cyrl-CS"/>
        </w:rPr>
        <w:t>8 партија</w:t>
      </w:r>
      <w:r w:rsidR="00E743B7">
        <w:rPr>
          <w:lang w:val="sr-Cyrl-CS"/>
        </w:rPr>
        <w:t>.</w:t>
      </w:r>
    </w:p>
    <w:p w:rsidR="00152899" w:rsidRDefault="00152899" w:rsidP="00E24DFE">
      <w:pPr>
        <w:numPr>
          <w:ilvl w:val="0"/>
          <w:numId w:val="2"/>
        </w:numPr>
        <w:ind w:right="-574"/>
        <w:jc w:val="both"/>
        <w:rPr>
          <w:lang w:val="sr-Cyrl-CS"/>
        </w:rPr>
      </w:pPr>
      <w:r>
        <w:rPr>
          <w:lang w:val="sr-Cyrl-CS"/>
        </w:rPr>
        <w:lastRenderedPageBreak/>
        <w:t xml:space="preserve">ПОДАЦИ ИЗ ПЛАНА НАБАВКИ КОЈИ СЕ ОДНОСЕ НА ПРЕДМЕТНУ ЈАВНУ НАБАВКУ </w:t>
      </w:r>
    </w:p>
    <w:p w:rsidR="00152899" w:rsidRDefault="00152899" w:rsidP="00E24DFE">
      <w:pPr>
        <w:ind w:right="-574"/>
        <w:jc w:val="both"/>
        <w:rPr>
          <w:lang w:val="sr-Cyrl-CS"/>
        </w:rPr>
      </w:pPr>
      <w:r>
        <w:rPr>
          <w:lang w:val="sr-Cyrl-CS"/>
        </w:rPr>
        <w:t xml:space="preserve">Предметна јавна набавка  планирана је  у плану набавки на позицији конта </w:t>
      </w:r>
      <w:r w:rsidRPr="004A0459">
        <w:rPr>
          <w:lang w:val="sr-Cyrl-CS"/>
        </w:rPr>
        <w:t>523100- Залихе робе за даљу продају</w:t>
      </w:r>
      <w:r>
        <w:rPr>
          <w:lang w:val="sr-Cyrl-CS"/>
        </w:rPr>
        <w:t xml:space="preserve"> .</w:t>
      </w:r>
    </w:p>
    <w:p w:rsidR="00152899" w:rsidRDefault="00152899" w:rsidP="00E24DFE">
      <w:pPr>
        <w:numPr>
          <w:ilvl w:val="0"/>
          <w:numId w:val="2"/>
        </w:numPr>
        <w:ind w:right="-574"/>
        <w:jc w:val="both"/>
        <w:rPr>
          <w:lang w:val="sr-Cyrl-CS"/>
        </w:rPr>
      </w:pPr>
      <w:r>
        <w:rPr>
          <w:lang w:val="sr-Cyrl-CS"/>
        </w:rPr>
        <w:t>ПРОЦЕЊЕНА ВРЕДНОСТ ЈАВНЕ НАБАВКЕ</w:t>
      </w:r>
    </w:p>
    <w:p w:rsidR="00E743B7" w:rsidRDefault="00E743B7" w:rsidP="00E743B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E743B7">
        <w:rPr>
          <w:lang w:val="sr-Cyrl-CS"/>
        </w:rPr>
        <w:t xml:space="preserve">Укупна Процењена вредност јавне набавке износи </w:t>
      </w:r>
      <w:r w:rsidRPr="00E743B7">
        <w:rPr>
          <w:b/>
          <w:lang w:val="sr-Latn-CS"/>
        </w:rPr>
        <w:t>600.762,00</w:t>
      </w:r>
      <w:r w:rsidRPr="00E743B7">
        <w:rPr>
          <w:lang w:val="sr-Latn-CS"/>
        </w:rPr>
        <w:t xml:space="preserve"> </w:t>
      </w:r>
      <w:r w:rsidRPr="00E743B7">
        <w:rPr>
          <w:b/>
          <w:lang w:val="sr-Cyrl-CS"/>
        </w:rPr>
        <w:t>динара</w:t>
      </w:r>
      <w:r w:rsidRPr="00E743B7">
        <w:rPr>
          <w:sz w:val="18"/>
          <w:szCs w:val="18"/>
          <w:lang w:val="sr-Cyrl-CS"/>
        </w:rPr>
        <w:t xml:space="preserve"> </w:t>
      </w:r>
      <w:r w:rsidRPr="00E743B7">
        <w:rPr>
          <w:lang w:val="sr-Cyrl-CS"/>
        </w:rPr>
        <w:t xml:space="preserve">без ПДВ-а, а по позиву за достављање понуде број </w:t>
      </w:r>
      <w:r w:rsidRPr="00E743B7">
        <w:rPr>
          <w:lang w:val="sr-Latn-CS"/>
        </w:rPr>
        <w:t>0</w:t>
      </w:r>
      <w:r w:rsidRPr="00E743B7">
        <w:rPr>
          <w:lang w:val="sr-Cyrl-CS"/>
        </w:rPr>
        <w:t>1.5</w:t>
      </w:r>
      <w:r w:rsidRPr="00E743B7">
        <w:rPr>
          <w:lang w:val="sr-Latn-CS"/>
        </w:rPr>
        <w:t>-</w:t>
      </w:r>
      <w:r w:rsidRPr="00E743B7">
        <w:rPr>
          <w:lang w:val="sr-Cyrl-CS"/>
        </w:rPr>
        <w:t>15</w:t>
      </w:r>
      <w:r w:rsidRPr="00E743B7">
        <w:rPr>
          <w:lang w:val="sr-Latn-CS"/>
        </w:rPr>
        <w:t>-</w:t>
      </w:r>
      <w:r w:rsidRPr="00E743B7">
        <w:rPr>
          <w:lang w:val="sr-Cyrl-CS"/>
        </w:rPr>
        <w:t>4</w:t>
      </w:r>
      <w:r w:rsidRPr="00E743B7">
        <w:rPr>
          <w:lang w:val="sr-Latn-CS"/>
        </w:rPr>
        <w:t>/</w:t>
      </w:r>
      <w:r w:rsidRPr="00E743B7">
        <w:t>20</w:t>
      </w:r>
      <w:r w:rsidRPr="00E743B7">
        <w:rPr>
          <w:lang w:val="sr-Cyrl-CS"/>
        </w:rPr>
        <w:t>13</w:t>
      </w:r>
      <w:r w:rsidRPr="00E743B7">
        <w:t xml:space="preserve"> </w:t>
      </w:r>
      <w:r w:rsidRPr="00E743B7">
        <w:rPr>
          <w:lang w:val="sr-Cyrl-CS"/>
        </w:rPr>
        <w:t>од 30.09.2013. године објављеног на Порталу јавних набавки и интернет страници наручиоца, који су и електронском поштом достављени потенцијалним понуђачима. Вр.појединачних партија: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344"/>
        <w:gridCol w:w="631"/>
        <w:gridCol w:w="2222"/>
        <w:gridCol w:w="426"/>
        <w:gridCol w:w="925"/>
        <w:gridCol w:w="1059"/>
        <w:gridCol w:w="2195"/>
      </w:tblGrid>
      <w:tr w:rsidR="00A71DF5" w:rsidRPr="00102510" w:rsidTr="00A71DF5">
        <w:trPr>
          <w:trHeight w:val="10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re.br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ATCNaziv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ATCSifra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Naziv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Plan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 xml:space="preserve">Nabavna </w:t>
            </w: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br/>
              <w:t>Cena Leka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 xml:space="preserve">Ukupan </w:t>
            </w: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br/>
              <w:t>očekivani iznos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NazivProizvođača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ibandronska kiselina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M05BA06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ALVODRONIC 1 po 150 mg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634.80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22,218.00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Alvogen d.o.o.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leflunomid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L04AA13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ARAVA tbl.30x20mg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4,407.70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17,630.80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Aventis Intercontinental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everolimus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L04AA18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CERTICAN tbl.60x0,25mg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9,946.10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19,892.20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Novartis Pharma Stein AG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klozapin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N05AH02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CLOZAPINE 50 po 25 mg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479.30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7,189.50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Remedica Ltd.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pantoprazol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A02BC02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CONTROLOC 14 po 20 mg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278.20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16,692.00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Nycomed GmbH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somatropin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H01AC01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GENOTROPIN 5 po 1 ml (5.3 mg / 1 ml)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43,702.70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87,405.40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Pfizer Manufacturing Belgium NV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pankreatin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A09AA02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KREON 25.000 tbl.100x300mg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2,960.10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11,840.40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color w:val="000000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color w:val="000000"/>
                <w:sz w:val="16"/>
                <w:szCs w:val="16"/>
                <w:lang w:val="sr-Latn-CS" w:eastAsia="sr-Latn-CS"/>
              </w:rPr>
              <w:t>Abbott GmbH &amp; Co. KG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lamotrigin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N03AX09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LAMICTAL 30 po 25 mg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272.10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2,721.00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GlaxoSmithKline Pharmaceuticals S.A.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metoprolol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C07AB02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METOPROLOL XL SANDOZ 30 po 95 mg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280.60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5,612.00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Salutas Pharma GmbH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varfarin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B01AA03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farin tbl. 30X5 mg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134.40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40,320.00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Galenika a.d.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somatropin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H01AC01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NORDITROPIN NordiLet 1 po 30 i.j. (10 mg/1,5 ml)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28,525.40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142,627.00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Novo Nordisk A/S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rosuvastatin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C10AA07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ROXERA 28 po 20 mg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1,362.30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20,434.50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Slaviamed d.o.o. u saradnji sa Krka Tovarna Zdravil d.d, Slovenija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ciklosporin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L04AD01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SANDIMMUN NEORAL 50 po 50 mg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7,361.70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58,893.60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Novartis Pharma Stein AG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lizinopril, hidrohlortiazid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C09BA03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SKOPRYL plus, 30 po (20mg + 12,5mg)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427.40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42,740.00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Alkaloid a.d.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olanzapin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N05AH03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TREANA, 30 po 10mg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2,152.30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30,132.20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Hemofarm a.d.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olanzapin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N05AH03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TREANA, 30 po 5mg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1,076.10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15,065.40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Hemofarm a.d.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ramipril +  hidrohlortiazid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C09BA05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VIVACE PLUS 28 po (5 mg + 25 mg)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301.30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48,208.00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Zdravlje a.d.</w:t>
            </w:r>
          </w:p>
        </w:tc>
      </w:tr>
      <w:tr w:rsidR="00A71DF5" w:rsidRPr="00102510" w:rsidTr="00A71DF5">
        <w:trPr>
          <w:trHeight w:val="25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ramipril +  hidrohlortiazid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C09BA05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VIVACE PLUS L 28 po (2,5 mg + 12,5 mg)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222.80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11,140.00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16"/>
                <w:szCs w:val="16"/>
                <w:lang w:val="sr-Latn-CS" w:eastAsia="sr-Latn-CS"/>
              </w:rPr>
            </w:pPr>
            <w:r w:rsidRPr="00102510">
              <w:rPr>
                <w:rFonts w:ascii="MS Sans Serif" w:hAnsi="MS Sans Serif"/>
                <w:sz w:val="16"/>
                <w:szCs w:val="16"/>
                <w:lang w:val="sr-Latn-CS" w:eastAsia="sr-Latn-CS"/>
              </w:rPr>
              <w:t>Zdravlje a.d.</w:t>
            </w:r>
          </w:p>
        </w:tc>
      </w:tr>
      <w:tr w:rsidR="00A71DF5" w:rsidRPr="00102510" w:rsidTr="00A71DF5">
        <w:trPr>
          <w:gridAfter w:val="7"/>
          <w:wAfter w:w="8802" w:type="dxa"/>
          <w:trHeight w:val="25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F5" w:rsidRPr="00102510" w:rsidRDefault="00A71DF5" w:rsidP="00A71DF5">
            <w:pPr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</w:p>
        </w:tc>
      </w:tr>
    </w:tbl>
    <w:p w:rsidR="00E743B7" w:rsidRPr="00E743B7" w:rsidRDefault="00E743B7" w:rsidP="00E743B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E743B7">
        <w:rPr>
          <w:lang w:val="sr-Cyrl-CS"/>
        </w:rPr>
        <w:lastRenderedPageBreak/>
        <w:t>ВРЕДНОСТ УГОВОРА О ЈАВНОЈ НАБАВЦИ по партијама:</w:t>
      </w: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2126"/>
      </w:tblGrid>
      <w:tr w:rsidR="00E743B7" w:rsidRPr="00F20737" w:rsidTr="00A71DF5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9646" w:fill="F79646"/>
            <w:vAlign w:val="center"/>
            <w:hideMark/>
          </w:tcPr>
          <w:p w:rsidR="00E743B7" w:rsidRPr="00F20737" w:rsidRDefault="00E743B7" w:rsidP="00A71DF5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20737">
              <w:rPr>
                <w:b/>
                <w:bCs/>
                <w:color w:val="000000"/>
                <w:sz w:val="20"/>
                <w:szCs w:val="20"/>
                <w:lang w:val="sr-Latn-CS" w:eastAsia="sr-Latn-CS"/>
              </w:rPr>
              <w:t>Број партије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9646" w:fill="F79646"/>
            <w:vAlign w:val="center"/>
            <w:hideMark/>
          </w:tcPr>
          <w:p w:rsidR="00E743B7" w:rsidRPr="00F20737" w:rsidRDefault="00E743B7" w:rsidP="00A71DF5">
            <w:pPr>
              <w:jc w:val="center"/>
              <w:rPr>
                <w:color w:val="000000"/>
                <w:sz w:val="20"/>
                <w:szCs w:val="20"/>
                <w:lang w:val="sr-Latn-CS" w:eastAsia="sr-Latn-CS"/>
              </w:rPr>
            </w:pPr>
            <w:r w:rsidRPr="00F20737">
              <w:rPr>
                <w:color w:val="000000"/>
                <w:sz w:val="20"/>
                <w:szCs w:val="20"/>
                <w:lang w:val="sr-Latn-CS" w:eastAsia="sr-Latn-CS"/>
              </w:rPr>
              <w:t xml:space="preserve">Укупан износ понуде без ПДВ 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B7" w:rsidRPr="00F20737" w:rsidRDefault="00E743B7" w:rsidP="00A71DF5">
            <w:pPr>
              <w:rPr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B7" w:rsidRPr="00F20737" w:rsidRDefault="00E743B7" w:rsidP="00A71DF5">
            <w:pPr>
              <w:rPr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21,735.00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17,630.80</w:t>
            </w:r>
          </w:p>
        </w:tc>
      </w:tr>
      <w:tr w:rsidR="00002E4C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4C" w:rsidRPr="00002E4C" w:rsidRDefault="00002E4C" w:rsidP="00A71DF5">
            <w:pPr>
              <w:jc w:val="right"/>
              <w:rPr>
                <w:rFonts w:asciiTheme="minorHAnsi" w:hAnsiTheme="minorHAnsi"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4C" w:rsidRPr="00002E4C" w:rsidRDefault="00A71DF5" w:rsidP="00A71DF5">
            <w:pPr>
              <w:jc w:val="right"/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</w:pPr>
            <w:r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  <w:t>19.892,20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7,033.50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16,326.00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87,405.40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11,840.40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2,650.00</w:t>
            </w:r>
          </w:p>
        </w:tc>
      </w:tr>
      <w:tr w:rsidR="00002E4C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4C" w:rsidRPr="00002E4C" w:rsidRDefault="00002E4C" w:rsidP="00A71DF5">
            <w:pPr>
              <w:jc w:val="right"/>
              <w:rPr>
                <w:rFonts w:asciiTheme="minorHAnsi" w:hAnsiTheme="minorHAnsi"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 w:eastAsia="sr-Latn-CS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4C" w:rsidRPr="00A71DF5" w:rsidRDefault="00A71DF5" w:rsidP="00F341B7">
            <w:pPr>
              <w:jc w:val="right"/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</w:pPr>
            <w:r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  <w:t>5.</w:t>
            </w:r>
            <w:r w:rsidR="00F341B7"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  <w:t>490</w:t>
            </w:r>
            <w:r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  <w:t>,00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40,320.00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142,627.00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19,989.00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57,609.60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41,810.00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29,475.60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14,736.40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47,152.00</w:t>
            </w:r>
          </w:p>
        </w:tc>
      </w:tr>
      <w:tr w:rsidR="00E743B7" w:rsidRPr="00F20737" w:rsidTr="00A71DF5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10,895.00</w:t>
            </w:r>
          </w:p>
        </w:tc>
      </w:tr>
    </w:tbl>
    <w:p w:rsidR="00F866AE" w:rsidRDefault="00F866AE" w:rsidP="00F866AE">
      <w:pPr>
        <w:jc w:val="both"/>
        <w:rPr>
          <w:lang w:val="sr-Cyrl-CS"/>
        </w:rPr>
      </w:pPr>
    </w:p>
    <w:p w:rsidR="00F866AE" w:rsidRPr="00F866AE" w:rsidRDefault="00F866AE" w:rsidP="00F866AE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F866AE">
        <w:rPr>
          <w:lang w:val="sr-Cyrl-CS"/>
        </w:rPr>
        <w:t xml:space="preserve">ЕВЕНТУАЛНА ОДСТУПАЊА ОД ПЛАНА НАБАВКИ СА ОБРАЗЛОЖЕЊЕМ </w:t>
      </w:r>
    </w:p>
    <w:tbl>
      <w:tblPr>
        <w:tblW w:w="36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70"/>
        <w:gridCol w:w="940"/>
        <w:gridCol w:w="1040"/>
        <w:gridCol w:w="960"/>
      </w:tblGrid>
      <w:tr w:rsidR="00E743B7" w:rsidRPr="00F20737" w:rsidTr="00E743B7">
        <w:trPr>
          <w:trHeight w:val="3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9646" w:fill="F79646"/>
            <w:vAlign w:val="center"/>
            <w:hideMark/>
          </w:tcPr>
          <w:p w:rsidR="00E743B7" w:rsidRPr="00F20737" w:rsidRDefault="00E743B7" w:rsidP="00A71DF5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F20737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partija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9646" w:fill="F79646"/>
            <w:vAlign w:val="center"/>
            <w:hideMark/>
          </w:tcPr>
          <w:p w:rsidR="00E743B7" w:rsidRPr="00F20737" w:rsidRDefault="00E743B7" w:rsidP="00A71DF5">
            <w:pPr>
              <w:jc w:val="center"/>
              <w:rPr>
                <w:color w:val="000000"/>
                <w:sz w:val="18"/>
                <w:szCs w:val="18"/>
                <w:lang w:val="sr-Latn-CS" w:eastAsia="sr-Latn-CS"/>
              </w:rPr>
            </w:pPr>
            <w:r w:rsidRPr="00F20737">
              <w:rPr>
                <w:color w:val="000000"/>
                <w:sz w:val="18"/>
                <w:szCs w:val="18"/>
                <w:lang w:val="sr-Latn-CS" w:eastAsia="sr-Latn-CS"/>
              </w:rPr>
              <w:t>ponuda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rPr>
                <w:rFonts w:ascii="MS Sans Serif" w:hAnsi="MS Sans Serif"/>
                <w:sz w:val="18"/>
                <w:szCs w:val="18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8"/>
                <w:szCs w:val="18"/>
                <w:lang w:val="sr-Latn-CS" w:eastAsia="sr-Latn-CS"/>
              </w:rPr>
              <w:t>proc.vr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rPr>
                <w:rFonts w:ascii="MS Sans Serif" w:hAnsi="MS Sans Serif"/>
                <w:sz w:val="18"/>
                <w:szCs w:val="18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8"/>
                <w:szCs w:val="18"/>
                <w:lang w:val="sr-Latn-CS" w:eastAsia="sr-Latn-CS"/>
              </w:rPr>
              <w:t>razlika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21,735.00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22,218.00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483.00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17,630.80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17,630.80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0.00</w:t>
            </w:r>
          </w:p>
        </w:tc>
      </w:tr>
      <w:tr w:rsidR="00A71DF5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A71DF5" w:rsidRDefault="00A71DF5" w:rsidP="00A71DF5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A71DF5" w:rsidRDefault="00A71DF5" w:rsidP="00A71DF5">
            <w:pPr>
              <w:jc w:val="right"/>
              <w:rPr>
                <w:rFonts w:asciiTheme="minorHAnsi" w:hAnsiTheme="minorHAnsi"/>
                <w:b/>
                <w:bCs/>
                <w:sz w:val="17"/>
                <w:szCs w:val="17"/>
                <w:lang w:val="sr-Cyrl-CS" w:eastAsia="sr-Latn-CS"/>
              </w:rPr>
            </w:pPr>
            <w:r>
              <w:rPr>
                <w:rFonts w:asciiTheme="minorHAnsi" w:hAnsiTheme="minorHAnsi"/>
                <w:b/>
                <w:bCs/>
                <w:sz w:val="17"/>
                <w:szCs w:val="17"/>
                <w:lang w:val="sr-Cyrl-CS" w:eastAsia="sr-Latn-CS"/>
              </w:rPr>
              <w:t>19.892,20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F20737" w:rsidRDefault="00A71DF5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>
              <w:rPr>
                <w:rFonts w:asciiTheme="minorHAnsi" w:hAnsiTheme="minorHAnsi"/>
                <w:b/>
                <w:bCs/>
                <w:sz w:val="17"/>
                <w:szCs w:val="17"/>
                <w:lang w:val="sr-Cyrl-CS" w:eastAsia="sr-Latn-CS"/>
              </w:rPr>
              <w:t>19.892,20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A71DF5" w:rsidRDefault="00A71DF5" w:rsidP="00A71DF5">
            <w:pPr>
              <w:jc w:val="right"/>
              <w:rPr>
                <w:rFonts w:asciiTheme="minorHAnsi" w:hAnsiTheme="minorHAnsi"/>
                <w:b/>
                <w:bCs/>
                <w:sz w:val="17"/>
                <w:szCs w:val="17"/>
                <w:lang w:val="sr-Cyrl-CS" w:eastAsia="sr-Latn-CS"/>
              </w:rPr>
            </w:pPr>
            <w:r>
              <w:rPr>
                <w:rFonts w:asciiTheme="minorHAnsi" w:hAnsiTheme="minorHAnsi"/>
                <w:b/>
                <w:bCs/>
                <w:sz w:val="17"/>
                <w:szCs w:val="17"/>
                <w:lang w:val="sr-Cyrl-CS" w:eastAsia="sr-Latn-CS"/>
              </w:rPr>
              <w:t>0,00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7,033.50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7,189.50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156.00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16,326.00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16,692.00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366.00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87,405.40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87,405.40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0.00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11,840.40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11,840.40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0.00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2,650.00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2,721.00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71.00</w:t>
            </w:r>
          </w:p>
        </w:tc>
      </w:tr>
      <w:tr w:rsidR="00A71DF5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A71DF5" w:rsidRDefault="00A71DF5" w:rsidP="00A71DF5">
            <w:pPr>
              <w:jc w:val="right"/>
              <w:rPr>
                <w:rFonts w:asciiTheme="minorHAnsi" w:hAnsiTheme="minorHAnsi"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 w:eastAsia="sr-Latn-CS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A71DF5" w:rsidRDefault="00A71DF5" w:rsidP="00F341B7">
            <w:pPr>
              <w:jc w:val="right"/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</w:pPr>
            <w:r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  <w:t>5.</w:t>
            </w:r>
            <w:r w:rsidR="00F341B7"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  <w:t>490</w:t>
            </w:r>
            <w:r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  <w:t>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A71DF5" w:rsidRDefault="00A71DF5" w:rsidP="00A71DF5">
            <w:pPr>
              <w:jc w:val="right"/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</w:pPr>
            <w:r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  <w:t>5.612,00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DF5" w:rsidRPr="00A71DF5" w:rsidRDefault="00F341B7" w:rsidP="00A71DF5">
            <w:pPr>
              <w:jc w:val="right"/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</w:pPr>
            <w:r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  <w:t>122</w:t>
            </w:r>
            <w:r w:rsidR="00A71DF5"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  <w:t>,00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40,320.00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40,320.00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0.00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142,627.00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142,627.00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0.00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19,989.00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20,434.50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445.50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57,609.60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58,893.60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1,284.00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41,810.00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42,740.00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930.00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29,475.60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30,132.20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656.60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14,736.40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15,065.40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329.00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47,152.00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48,208.00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1,056.00</w:t>
            </w:r>
          </w:p>
        </w:tc>
      </w:tr>
      <w:tr w:rsidR="00E743B7" w:rsidRPr="00F20737" w:rsidTr="00E743B7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10,895.00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11,140.00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3B7" w:rsidRPr="00F20737" w:rsidRDefault="00E743B7" w:rsidP="00A71DF5">
            <w:pPr>
              <w:jc w:val="right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245.00</w:t>
            </w:r>
          </w:p>
        </w:tc>
      </w:tr>
    </w:tbl>
    <w:p w:rsidR="00E743B7" w:rsidRPr="005E0438" w:rsidRDefault="00E743B7" w:rsidP="00E743B7">
      <w:pPr>
        <w:ind w:left="720"/>
        <w:jc w:val="both"/>
        <w:rPr>
          <w:lang w:val="sr-Cyrl-CS"/>
        </w:rPr>
      </w:pPr>
    </w:p>
    <w:p w:rsidR="00E743B7" w:rsidRPr="005E0438" w:rsidRDefault="00E743B7" w:rsidP="00E743B7">
      <w:pPr>
        <w:jc w:val="both"/>
        <w:rPr>
          <w:lang w:val="sr-Cyrl-CS"/>
        </w:rPr>
      </w:pPr>
      <w:r>
        <w:rPr>
          <w:lang w:val="sr-Cyrl-CS"/>
        </w:rPr>
        <w:t>Комисија је на основу поновног увида у ценовник РФЗО С.Митровица, констатовала да су понуде за наведене партије прихватљиве и у складу са важећим ценовником.</w:t>
      </w:r>
    </w:p>
    <w:p w:rsidR="00F866AE" w:rsidRDefault="00F866AE" w:rsidP="00F866AE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 xml:space="preserve">АКО ЈЕ СПОВЕДЕН ПОСТУПАК КОЈИ НИЈЕ ОТВОРЕН ИЛИ РЕСТРИКТИВНИ ПОСТУПАК, РАЗЛОГЕ И ОКОЛНОСТИ КОЈЕ ОПРАВДАВАЈУ ПРИМЕНУ ТОГ ПОСТУПКА. </w:t>
      </w:r>
    </w:p>
    <w:p w:rsidR="00E743B7" w:rsidRPr="00E743B7" w:rsidRDefault="00E743B7" w:rsidP="00E743B7">
      <w:pPr>
        <w:jc w:val="both"/>
        <w:rPr>
          <w:color w:val="222222"/>
          <w:sz w:val="22"/>
          <w:szCs w:val="22"/>
          <w:lang w:val="sr-Cyrl-CS"/>
        </w:rPr>
      </w:pPr>
      <w:r w:rsidRPr="00E743B7">
        <w:rPr>
          <w:sz w:val="22"/>
          <w:szCs w:val="22"/>
          <w:lang w:val="sr-Cyrl-CS"/>
        </w:rPr>
        <w:t xml:space="preserve">Изузетна хитност спровођења ППБОЈП број 15/2013, у складу са чланом 36.став 1. тачка 3. ЗЈН, проузрокована је појавом нових пацијената који имају потребу за новим количинама  лекова ,а  сходно </w:t>
      </w:r>
      <w:r w:rsidRPr="00E743B7">
        <w:rPr>
          <w:color w:val="222222"/>
          <w:sz w:val="22"/>
          <w:szCs w:val="22"/>
          <w:lang w:val="sr-Cyrl-CS"/>
        </w:rPr>
        <w:t xml:space="preserve"> Одлуци о обустави поступка обајвљену на Порталу ЈН и интернет страници наручиоца, дана 30.09.2013.године за претходни ППБОЈП број 14/2013 године од 24.09.2013.године, пошто Наручиоц није добио ни једну понуду која је благовремена и прихватљива.</w:t>
      </w:r>
    </w:p>
    <w:p w:rsidR="00E743B7" w:rsidRPr="00E743B7" w:rsidRDefault="00E743B7" w:rsidP="00E743B7">
      <w:pPr>
        <w:jc w:val="both"/>
        <w:rPr>
          <w:sz w:val="23"/>
          <w:szCs w:val="23"/>
        </w:rPr>
      </w:pPr>
      <w:r w:rsidRPr="00E743B7">
        <w:rPr>
          <w:sz w:val="22"/>
          <w:szCs w:val="22"/>
          <w:lang w:val="sr-Cyrl-CS"/>
        </w:rPr>
        <w:t>Н</w:t>
      </w:r>
      <w:r w:rsidRPr="00E743B7">
        <w:rPr>
          <w:sz w:val="22"/>
          <w:szCs w:val="22"/>
        </w:rPr>
        <w:t>а основу члана 178. став 3. Закона о здравственом осигурању</w:t>
      </w:r>
      <w:r w:rsidRPr="00E743B7">
        <w:rPr>
          <w:sz w:val="22"/>
          <w:szCs w:val="22"/>
          <w:lang w:val="sr-Cyrl-CS"/>
        </w:rPr>
        <w:t>,</w:t>
      </w:r>
      <w:r w:rsidRPr="00E743B7">
        <w:rPr>
          <w:sz w:val="23"/>
          <w:szCs w:val="23"/>
        </w:rPr>
        <w:t xml:space="preserve"> здравствена установа, као давалац здравствених услуга мора да обезбеди неопходне лекове, медицинска средства, имплантате и медицинско-техничка помагала која су утврђена као право из обавезног здравственог осигурања.</w:t>
      </w:r>
    </w:p>
    <w:p w:rsidR="00E743B7" w:rsidRPr="00E743B7" w:rsidRDefault="00E743B7" w:rsidP="00E743B7">
      <w:pPr>
        <w:jc w:val="both"/>
        <w:rPr>
          <w:sz w:val="23"/>
          <w:szCs w:val="23"/>
          <w:highlight w:val="yellow"/>
          <w:lang w:val="sr-Cyrl-CS"/>
        </w:rPr>
      </w:pPr>
      <w:r w:rsidRPr="00E743B7">
        <w:rPr>
          <w:sz w:val="23"/>
          <w:szCs w:val="23"/>
          <w:lang w:val="sr-Cyrl-CS"/>
        </w:rPr>
        <w:t xml:space="preserve">У складу са закљученим Уговором о пружању и финансирању здравствене заштите из обавезног здравственог осигурања за 2013. годину Установа, мора да обезбеди потребну количину и целокупан асортиман лекова са Листе РФЗО ради редовног и континуираног снабдевања осигураних лица као и да обезбеди потребне залихе у складу са законом. </w:t>
      </w:r>
    </w:p>
    <w:p w:rsidR="00E743B7" w:rsidRPr="00B155D6" w:rsidRDefault="00E743B7" w:rsidP="00E743B7">
      <w:pPr>
        <w:pStyle w:val="Default"/>
        <w:jc w:val="both"/>
        <w:rPr>
          <w:sz w:val="23"/>
          <w:szCs w:val="23"/>
          <w:lang w:val="sr-Cyrl-CS"/>
        </w:rPr>
      </w:pPr>
      <w:r w:rsidRPr="00B155D6">
        <w:rPr>
          <w:sz w:val="23"/>
          <w:szCs w:val="23"/>
          <w:lang w:val="sr-Cyrl-CS"/>
        </w:rPr>
        <w:t>З</w:t>
      </w:r>
      <w:r w:rsidRPr="00B155D6">
        <w:rPr>
          <w:sz w:val="23"/>
          <w:szCs w:val="23"/>
        </w:rPr>
        <w:t xml:space="preserve">а </w:t>
      </w:r>
      <w:r w:rsidRPr="00B155D6">
        <w:rPr>
          <w:sz w:val="23"/>
          <w:szCs w:val="23"/>
          <w:lang w:val="sr-Cyrl-CS"/>
        </w:rPr>
        <w:t>део тражених лекова имамо</w:t>
      </w:r>
      <w:r w:rsidRPr="00B155D6">
        <w:rPr>
          <w:sz w:val="23"/>
          <w:szCs w:val="23"/>
        </w:rPr>
        <w:t xml:space="preserve"> закљученe уговор</w:t>
      </w:r>
      <w:r w:rsidRPr="00B155D6">
        <w:rPr>
          <w:sz w:val="23"/>
          <w:szCs w:val="23"/>
          <w:lang w:val="sr-Cyrl-CS"/>
        </w:rPr>
        <w:t>е</w:t>
      </w:r>
      <w:r w:rsidRPr="00B155D6">
        <w:rPr>
          <w:sz w:val="23"/>
          <w:szCs w:val="23"/>
        </w:rPr>
        <w:t xml:space="preserve"> о јавној набавци </w:t>
      </w:r>
      <w:r w:rsidRPr="00B155D6">
        <w:rPr>
          <w:sz w:val="23"/>
          <w:szCs w:val="23"/>
          <w:lang w:val="sr-Cyrl-CS"/>
        </w:rPr>
        <w:t xml:space="preserve">ППБОЈП </w:t>
      </w:r>
      <w:r w:rsidRPr="00B155D6">
        <w:rPr>
          <w:sz w:val="23"/>
          <w:szCs w:val="23"/>
        </w:rPr>
        <w:t>број</w:t>
      </w:r>
      <w:r w:rsidRPr="00B155D6">
        <w:rPr>
          <w:sz w:val="23"/>
          <w:szCs w:val="23"/>
          <w:lang w:val="sr-Cyrl-CS"/>
        </w:rPr>
        <w:t xml:space="preserve"> 10/2013 у јулу </w:t>
      </w:r>
      <w:r>
        <w:rPr>
          <w:sz w:val="23"/>
          <w:szCs w:val="23"/>
          <w:lang w:val="sr-Cyrl-CS"/>
        </w:rPr>
        <w:t xml:space="preserve">месецу </w:t>
      </w:r>
      <w:r w:rsidRPr="00B155D6">
        <w:rPr>
          <w:sz w:val="23"/>
          <w:szCs w:val="23"/>
          <w:lang w:val="sr-Cyrl-CS"/>
        </w:rPr>
        <w:t xml:space="preserve">2013.године, </w:t>
      </w:r>
      <w:r w:rsidRPr="00B155D6">
        <w:rPr>
          <w:sz w:val="23"/>
          <w:szCs w:val="23"/>
        </w:rPr>
        <w:t>са понуђач</w:t>
      </w:r>
      <w:r w:rsidRPr="00B155D6">
        <w:rPr>
          <w:sz w:val="23"/>
          <w:szCs w:val="23"/>
          <w:lang w:val="sr-Cyrl-CS"/>
        </w:rPr>
        <w:t>има, и то са :</w:t>
      </w:r>
    </w:p>
    <w:p w:rsidR="00E743B7" w:rsidRPr="00B155D6" w:rsidRDefault="00E743B7" w:rsidP="00E743B7">
      <w:pPr>
        <w:pStyle w:val="Default"/>
        <w:ind w:left="1080"/>
        <w:jc w:val="both"/>
        <w:rPr>
          <w:lang w:val="sr-Cyrl-CS"/>
        </w:rPr>
      </w:pPr>
      <w:r w:rsidRPr="00B155D6">
        <w:rPr>
          <w:sz w:val="23"/>
          <w:szCs w:val="23"/>
          <w:lang w:val="sr-Cyrl-CS"/>
        </w:rPr>
        <w:t>1.</w:t>
      </w:r>
      <w:r w:rsidRPr="00B155D6">
        <w:t>D.O.O</w:t>
      </w:r>
      <w:r w:rsidRPr="00B155D6">
        <w:rPr>
          <w:lang w:val="sr-Cyrl-CS"/>
        </w:rPr>
        <w:t xml:space="preserve"> „Vega“  </w:t>
      </w:r>
      <w:r w:rsidRPr="00B155D6">
        <w:rPr>
          <w:lang w:val="en-US"/>
        </w:rPr>
        <w:t>Vuka Karad</w:t>
      </w:r>
      <w:r w:rsidRPr="00B155D6">
        <w:t>žića 41, 14000 Valjevo</w:t>
      </w:r>
      <w:r w:rsidRPr="00B155D6">
        <w:rPr>
          <w:lang w:val="sr-Cyrl-CS"/>
        </w:rPr>
        <w:t>,</w:t>
      </w:r>
    </w:p>
    <w:p w:rsidR="00E743B7" w:rsidRPr="00B155D6" w:rsidRDefault="00E743B7" w:rsidP="00E743B7">
      <w:pPr>
        <w:pStyle w:val="Default"/>
        <w:ind w:left="1080"/>
        <w:jc w:val="both"/>
        <w:rPr>
          <w:lang w:val="sr-Cyrl-CS"/>
        </w:rPr>
      </w:pPr>
      <w:r w:rsidRPr="00B155D6">
        <w:rPr>
          <w:lang w:val="sr-Cyrl-CS"/>
        </w:rPr>
        <w:t>2.</w:t>
      </w:r>
      <w:r w:rsidRPr="00B155D6">
        <w:t xml:space="preserve"> D.O.O</w:t>
      </w:r>
      <w:r w:rsidRPr="00B155D6">
        <w:rPr>
          <w:lang w:val="sr-Cyrl-CS"/>
        </w:rPr>
        <w:t xml:space="preserve"> „Farmalogist“ </w:t>
      </w:r>
      <w:r w:rsidRPr="00B155D6">
        <w:rPr>
          <w:lang w:val="en-US"/>
        </w:rPr>
        <w:t>Mirijevski bulevar 3, 11060 Beograd</w:t>
      </w:r>
      <w:r w:rsidRPr="00B155D6">
        <w:rPr>
          <w:lang w:val="sr-Cyrl-CS"/>
        </w:rPr>
        <w:t>,</w:t>
      </w:r>
    </w:p>
    <w:p w:rsidR="00E743B7" w:rsidRPr="00B155D6" w:rsidRDefault="00E743B7" w:rsidP="00E743B7">
      <w:pPr>
        <w:pStyle w:val="Default"/>
        <w:ind w:left="1080"/>
        <w:jc w:val="both"/>
        <w:rPr>
          <w:lang w:val="sr-Cyrl-CS"/>
        </w:rPr>
      </w:pPr>
      <w:r w:rsidRPr="00B155D6">
        <w:rPr>
          <w:lang w:val="sr-Cyrl-CS"/>
        </w:rPr>
        <w:t>3.</w:t>
      </w:r>
      <w:r w:rsidRPr="00B155D6">
        <w:t xml:space="preserve"> D.O.O</w:t>
      </w:r>
      <w:r w:rsidRPr="00B155D6">
        <w:rPr>
          <w:lang w:val="sr-Cyrl-CS"/>
        </w:rPr>
        <w:t>„</w:t>
      </w:r>
      <w:r w:rsidRPr="00B155D6">
        <w:t>Erma</w:t>
      </w:r>
      <w:r w:rsidRPr="00B155D6">
        <w:rPr>
          <w:lang w:val="sr-Cyrl-CS"/>
        </w:rPr>
        <w:t>“</w:t>
      </w:r>
      <w:r w:rsidRPr="00B155D6">
        <w:t>, autoput za N.Sad 96a, 11080 Beograd,</w:t>
      </w:r>
    </w:p>
    <w:p w:rsidR="00E743B7" w:rsidRPr="00B155D6" w:rsidRDefault="00E743B7" w:rsidP="00E743B7">
      <w:pPr>
        <w:pStyle w:val="Default"/>
        <w:ind w:left="1080"/>
        <w:jc w:val="both"/>
        <w:rPr>
          <w:lang w:val="sr-Cyrl-CS"/>
        </w:rPr>
      </w:pPr>
      <w:r w:rsidRPr="00B155D6">
        <w:rPr>
          <w:lang w:val="sr-Cyrl-CS"/>
        </w:rPr>
        <w:t>4.</w:t>
      </w:r>
      <w:r w:rsidRPr="00B155D6">
        <w:t xml:space="preserve"> D.O.O</w:t>
      </w:r>
      <w:r w:rsidRPr="00B155D6">
        <w:rPr>
          <w:lang w:val="sr-Cyrl-CS"/>
        </w:rPr>
        <w:t xml:space="preserve"> „</w:t>
      </w:r>
      <w:r w:rsidRPr="00B155D6">
        <w:t>Phoenix Pharma</w:t>
      </w:r>
      <w:r w:rsidRPr="00B155D6">
        <w:rPr>
          <w:lang w:val="sr-Cyrl-CS"/>
        </w:rPr>
        <w:t>“</w:t>
      </w:r>
      <w:r w:rsidRPr="00B155D6">
        <w:t>, Bore Stankovića 2, 11250 Beograd</w:t>
      </w:r>
      <w:r w:rsidRPr="00B155D6">
        <w:rPr>
          <w:lang w:val="sr-Cyrl-CS"/>
        </w:rPr>
        <w:t xml:space="preserve"> и</w:t>
      </w:r>
    </w:p>
    <w:p w:rsidR="00E743B7" w:rsidRPr="00B155D6" w:rsidRDefault="00E743B7" w:rsidP="00E743B7">
      <w:pPr>
        <w:pStyle w:val="Default"/>
        <w:ind w:left="1080"/>
        <w:jc w:val="both"/>
        <w:rPr>
          <w:sz w:val="23"/>
          <w:szCs w:val="23"/>
          <w:highlight w:val="yellow"/>
          <w:lang w:val="sr-Cyrl-CS"/>
        </w:rPr>
      </w:pPr>
      <w:r w:rsidRPr="00B155D6">
        <w:rPr>
          <w:lang w:val="sr-Cyrl-CS"/>
        </w:rPr>
        <w:t>5.</w:t>
      </w:r>
      <w:r w:rsidRPr="00B155D6">
        <w:rPr>
          <w:bCs/>
        </w:rPr>
        <w:t xml:space="preserve"> </w:t>
      </w:r>
      <w:r w:rsidRPr="00B155D6">
        <w:t>D.O.O</w:t>
      </w:r>
      <w:r w:rsidRPr="00B155D6">
        <w:rPr>
          <w:lang w:val="sr-Cyrl-CS"/>
        </w:rPr>
        <w:t xml:space="preserve"> „</w:t>
      </w:r>
      <w:r w:rsidRPr="00B155D6">
        <w:rPr>
          <w:bCs/>
        </w:rPr>
        <w:t>Медиком</w:t>
      </w:r>
      <w:r w:rsidRPr="00B155D6">
        <w:rPr>
          <w:bCs/>
          <w:lang w:val="sr-Cyrl-CS"/>
        </w:rPr>
        <w:t xml:space="preserve">“, </w:t>
      </w:r>
      <w:r w:rsidRPr="00B155D6">
        <w:rPr>
          <w:bCs/>
        </w:rPr>
        <w:t xml:space="preserve"> </w:t>
      </w:r>
      <w:r w:rsidRPr="00B155D6">
        <w:rPr>
          <w:sz w:val="22"/>
          <w:szCs w:val="22"/>
          <w:lang w:val="sr-Cyrl-CS"/>
        </w:rPr>
        <w:t xml:space="preserve">ул.Поцерска 3, </w:t>
      </w:r>
      <w:r w:rsidRPr="00B155D6">
        <w:rPr>
          <w:bCs/>
        </w:rPr>
        <w:t>Шабац</w:t>
      </w:r>
      <w:r w:rsidRPr="00B155D6">
        <w:rPr>
          <w:bCs/>
          <w:lang w:val="sr-Cyrl-CS"/>
        </w:rPr>
        <w:t>.</w:t>
      </w:r>
    </w:p>
    <w:p w:rsidR="00E743B7" w:rsidRPr="00E743B7" w:rsidRDefault="00E743B7" w:rsidP="00E743B7">
      <w:pPr>
        <w:tabs>
          <w:tab w:val="left" w:pos="567"/>
        </w:tabs>
        <w:jc w:val="both"/>
        <w:rPr>
          <w:sz w:val="23"/>
          <w:szCs w:val="23"/>
          <w:lang w:val="sr-Latn-CS"/>
        </w:rPr>
      </w:pPr>
      <w:r w:rsidRPr="00E743B7">
        <w:rPr>
          <w:sz w:val="23"/>
          <w:szCs w:val="23"/>
          <w:lang w:val="sr-Cyrl-CS"/>
        </w:rPr>
        <w:t>Потребе за новим количинама лекова који су већ уговорени, а који су већи од планираних у претходном поступку јавне набавке и које смо већ повукли односно потрошили, оправдан је појавом нових пацијената. У међувремену појавили су се и пацијенти са потребама за лекове које нисмо планирали у претходном поступку јавне набавке, а сходно обевези Установе да мора да обезбеди неопходе лекове</w:t>
      </w:r>
      <w:r w:rsidRPr="00E743B7">
        <w:rPr>
          <w:sz w:val="23"/>
          <w:szCs w:val="23"/>
        </w:rPr>
        <w:t xml:space="preserve"> која су утврђена као право из обавезног здравственог осигурања</w:t>
      </w:r>
      <w:r w:rsidRPr="00E743B7">
        <w:rPr>
          <w:sz w:val="23"/>
          <w:szCs w:val="23"/>
          <w:lang w:val="sr-Cyrl-CS"/>
        </w:rPr>
        <w:t xml:space="preserve">, Дом Здравља Инђија је мишљења </w:t>
      </w:r>
      <w:r w:rsidRPr="00E743B7">
        <w:rPr>
          <w:sz w:val="23"/>
          <w:szCs w:val="23"/>
        </w:rPr>
        <w:t>да су испуњени услови за примену преговарачког поступка без објављивања позива за подношење понуда у складу са чланом 36. став 1. тачка 3) Закона</w:t>
      </w:r>
      <w:r w:rsidRPr="00E743B7">
        <w:rPr>
          <w:sz w:val="23"/>
          <w:szCs w:val="23"/>
          <w:lang w:val="sr-Cyrl-CS"/>
        </w:rPr>
        <w:t>.</w:t>
      </w:r>
    </w:p>
    <w:p w:rsidR="00E743B7" w:rsidRPr="00E743B7" w:rsidRDefault="00E743B7" w:rsidP="00E743B7">
      <w:pPr>
        <w:pStyle w:val="ListParagraph"/>
        <w:tabs>
          <w:tab w:val="left" w:pos="567"/>
        </w:tabs>
        <w:ind w:left="1080"/>
        <w:jc w:val="both"/>
        <w:rPr>
          <w:sz w:val="23"/>
          <w:szCs w:val="23"/>
          <w:lang w:val="sr-Latn-CS"/>
        </w:rPr>
      </w:pPr>
    </w:p>
    <w:p w:rsidR="00F866AE" w:rsidRPr="000A1473" w:rsidRDefault="00F866AE" w:rsidP="000A147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A1473">
        <w:rPr>
          <w:lang w:val="sr-Cyrl-CS"/>
        </w:rPr>
        <w:t>ОСНОВНЕ ПОДАТКЕ О ПОНУЂАЧИМА</w:t>
      </w:r>
    </w:p>
    <w:p w:rsidR="00E743B7" w:rsidRPr="00E743B7" w:rsidRDefault="00E743B7" w:rsidP="00E743B7">
      <w:pPr>
        <w:jc w:val="both"/>
        <w:rPr>
          <w:lang w:val="sr-Cyrl-CS"/>
        </w:rPr>
      </w:pPr>
      <w:r w:rsidRPr="00E743B7">
        <w:rPr>
          <w:lang w:val="sr-Cyrl-CS"/>
        </w:rPr>
        <w:t xml:space="preserve">Благовремено тј. до дана  07.10.2013. године  до  09,00  часова, пристигла је сл. понуда: </w:t>
      </w:r>
    </w:p>
    <w:p w:rsidR="00E743B7" w:rsidRPr="00E743B7" w:rsidRDefault="00E743B7" w:rsidP="00E743B7">
      <w:pPr>
        <w:jc w:val="both"/>
        <w:rPr>
          <w:b/>
          <w:sz w:val="22"/>
          <w:szCs w:val="22"/>
        </w:rPr>
      </w:pPr>
      <w:r w:rsidRPr="00E743B7">
        <w:rPr>
          <w:b/>
          <w:sz w:val="22"/>
          <w:szCs w:val="22"/>
        </w:rPr>
        <w:t>Број под којим је</w:t>
      </w:r>
    </w:p>
    <w:p w:rsidR="00E743B7" w:rsidRPr="00E743B7" w:rsidRDefault="00E743B7" w:rsidP="00E743B7">
      <w:pPr>
        <w:jc w:val="both"/>
        <w:rPr>
          <w:b/>
          <w:sz w:val="22"/>
          <w:szCs w:val="22"/>
          <w:u w:val="single"/>
        </w:rPr>
      </w:pPr>
      <w:r w:rsidRPr="00E743B7">
        <w:rPr>
          <w:b/>
          <w:sz w:val="22"/>
          <w:szCs w:val="22"/>
          <w:u w:val="single"/>
        </w:rPr>
        <w:t xml:space="preserve">понуда заведена       </w:t>
      </w:r>
      <w:r w:rsidRPr="00E743B7">
        <w:rPr>
          <w:b/>
          <w:sz w:val="22"/>
          <w:szCs w:val="22"/>
          <w:u w:val="single"/>
          <w:lang w:val="sr-Cyrl-CS"/>
        </w:rPr>
        <w:t xml:space="preserve">         </w:t>
      </w:r>
      <w:r w:rsidRPr="00E743B7">
        <w:rPr>
          <w:b/>
          <w:sz w:val="22"/>
          <w:szCs w:val="22"/>
          <w:u w:val="single"/>
        </w:rPr>
        <w:t xml:space="preserve">    Назив или шифра понуђача    </w:t>
      </w:r>
      <w:r w:rsidRPr="00E743B7">
        <w:rPr>
          <w:b/>
          <w:sz w:val="22"/>
          <w:szCs w:val="22"/>
          <w:u w:val="single"/>
          <w:lang w:val="sr-Latn-CS"/>
        </w:rPr>
        <w:t>__</w:t>
      </w:r>
      <w:r w:rsidRPr="00E743B7">
        <w:rPr>
          <w:b/>
          <w:sz w:val="22"/>
          <w:szCs w:val="22"/>
          <w:u w:val="single"/>
        </w:rPr>
        <w:t xml:space="preserve"> </w:t>
      </w:r>
      <w:r w:rsidRPr="00E743B7">
        <w:rPr>
          <w:b/>
          <w:sz w:val="22"/>
          <w:szCs w:val="22"/>
          <w:u w:val="single"/>
          <w:lang w:val="sr-Cyrl-CS"/>
        </w:rPr>
        <w:t xml:space="preserve">     </w:t>
      </w:r>
      <w:r w:rsidRPr="00E743B7">
        <w:rPr>
          <w:b/>
          <w:sz w:val="22"/>
          <w:szCs w:val="22"/>
          <w:u w:val="single"/>
        </w:rPr>
        <w:t xml:space="preserve">   Датум пријема             Сат </w:t>
      </w:r>
    </w:p>
    <w:p w:rsidR="00E743B7" w:rsidRDefault="00E743B7" w:rsidP="00E743B7">
      <w:pPr>
        <w:jc w:val="both"/>
        <w:rPr>
          <w:b/>
          <w:sz w:val="22"/>
          <w:szCs w:val="22"/>
          <w:lang w:val="sr-Cyrl-CS"/>
        </w:rPr>
      </w:pPr>
      <w:r w:rsidRPr="00E743B7">
        <w:rPr>
          <w:b/>
          <w:lang w:val="sr-Cyrl-CS"/>
        </w:rPr>
        <w:t>1.</w:t>
      </w:r>
      <w:r w:rsidRPr="00E743B7">
        <w:rPr>
          <w:b/>
          <w:sz w:val="22"/>
          <w:szCs w:val="22"/>
          <w:lang w:val="sr-Cyrl-CS"/>
        </w:rPr>
        <w:t xml:space="preserve">  01.5-1</w:t>
      </w:r>
      <w:r w:rsidRPr="00E743B7">
        <w:rPr>
          <w:b/>
          <w:sz w:val="22"/>
          <w:szCs w:val="22"/>
          <w:lang w:val="sr-Latn-CS"/>
        </w:rPr>
        <w:t>5</w:t>
      </w:r>
      <w:r w:rsidRPr="00E743B7">
        <w:rPr>
          <w:b/>
          <w:sz w:val="22"/>
          <w:szCs w:val="22"/>
          <w:lang w:val="sr-Cyrl-CS"/>
        </w:rPr>
        <w:t>-</w:t>
      </w:r>
      <w:r w:rsidRPr="00E743B7">
        <w:rPr>
          <w:b/>
          <w:sz w:val="22"/>
          <w:szCs w:val="22"/>
          <w:lang w:val="sr-Latn-CS"/>
        </w:rPr>
        <w:t>7</w:t>
      </w:r>
      <w:r w:rsidRPr="00E743B7">
        <w:rPr>
          <w:b/>
          <w:sz w:val="22"/>
          <w:szCs w:val="22"/>
          <w:lang w:val="sr-Cyrl-CS"/>
        </w:rPr>
        <w:t>/</w:t>
      </w:r>
      <w:r w:rsidRPr="00E743B7">
        <w:rPr>
          <w:b/>
          <w:sz w:val="22"/>
          <w:szCs w:val="22"/>
          <w:lang w:val="sr-Latn-CS"/>
        </w:rPr>
        <w:t xml:space="preserve">2013                       </w:t>
      </w:r>
      <w:r w:rsidRPr="00E743B7">
        <w:rPr>
          <w:b/>
          <w:sz w:val="22"/>
          <w:szCs w:val="22"/>
          <w:lang w:val="sr-Cyrl-CS"/>
        </w:rPr>
        <w:t>Д.О.О „</w:t>
      </w:r>
      <w:r w:rsidRPr="00E743B7">
        <w:rPr>
          <w:b/>
          <w:sz w:val="22"/>
          <w:szCs w:val="22"/>
        </w:rPr>
        <w:t>Phoenix Pharma</w:t>
      </w:r>
      <w:r w:rsidRPr="00E743B7">
        <w:rPr>
          <w:b/>
          <w:sz w:val="22"/>
          <w:szCs w:val="22"/>
          <w:lang w:val="sr-Cyrl-CS"/>
        </w:rPr>
        <w:t>“</w:t>
      </w:r>
      <w:r w:rsidRPr="00E743B7">
        <w:rPr>
          <w:b/>
          <w:sz w:val="22"/>
          <w:szCs w:val="22"/>
        </w:rPr>
        <w:t xml:space="preserve">, </w:t>
      </w:r>
      <w:r w:rsidRPr="00E743B7">
        <w:rPr>
          <w:b/>
          <w:sz w:val="22"/>
          <w:szCs w:val="22"/>
          <w:lang w:val="sr-Cyrl-CS"/>
        </w:rPr>
        <w:t xml:space="preserve">      </w:t>
      </w:r>
      <w:r w:rsidRPr="00E743B7">
        <w:rPr>
          <w:b/>
          <w:sz w:val="22"/>
          <w:szCs w:val="22"/>
          <w:lang w:val="sr-Latn-CS"/>
        </w:rPr>
        <w:t xml:space="preserve">    </w:t>
      </w:r>
      <w:r w:rsidRPr="00E743B7">
        <w:rPr>
          <w:b/>
          <w:sz w:val="22"/>
          <w:szCs w:val="22"/>
          <w:lang w:val="sr-Cyrl-CS"/>
        </w:rPr>
        <w:t xml:space="preserve">   </w:t>
      </w:r>
      <w:r w:rsidRPr="00E743B7">
        <w:rPr>
          <w:b/>
          <w:sz w:val="22"/>
          <w:szCs w:val="22"/>
          <w:lang w:val="sr-Latn-CS"/>
        </w:rPr>
        <w:t xml:space="preserve">  </w:t>
      </w:r>
      <w:r w:rsidRPr="00E743B7">
        <w:rPr>
          <w:b/>
          <w:sz w:val="22"/>
          <w:szCs w:val="22"/>
          <w:lang w:val="sr-Cyrl-CS"/>
        </w:rPr>
        <w:t xml:space="preserve"> </w:t>
      </w:r>
      <w:r w:rsidRPr="00E743B7">
        <w:rPr>
          <w:b/>
          <w:sz w:val="22"/>
          <w:szCs w:val="22"/>
          <w:lang w:val="sr-Latn-CS"/>
        </w:rPr>
        <w:t>07</w:t>
      </w:r>
      <w:r w:rsidRPr="00E743B7">
        <w:rPr>
          <w:b/>
          <w:sz w:val="22"/>
          <w:szCs w:val="22"/>
          <w:lang w:val="sr-Cyrl-CS"/>
        </w:rPr>
        <w:t>.</w:t>
      </w:r>
      <w:r w:rsidRPr="00E743B7">
        <w:rPr>
          <w:b/>
          <w:sz w:val="22"/>
          <w:szCs w:val="22"/>
          <w:lang w:val="sr-Latn-CS"/>
        </w:rPr>
        <w:t>10</w:t>
      </w:r>
      <w:r w:rsidRPr="00E743B7">
        <w:rPr>
          <w:b/>
          <w:sz w:val="22"/>
          <w:szCs w:val="22"/>
          <w:lang w:val="sr-Cyrl-CS"/>
        </w:rPr>
        <w:t>.2013                    0</w:t>
      </w:r>
      <w:r w:rsidRPr="00E743B7">
        <w:rPr>
          <w:b/>
          <w:sz w:val="22"/>
          <w:szCs w:val="22"/>
          <w:lang w:val="sr-Latn-CS"/>
        </w:rPr>
        <w:t>8</w:t>
      </w:r>
      <w:r w:rsidRPr="00E743B7">
        <w:rPr>
          <w:b/>
          <w:sz w:val="22"/>
          <w:szCs w:val="22"/>
          <w:lang w:val="sr-Cyrl-CS"/>
        </w:rPr>
        <w:t>:</w:t>
      </w:r>
      <w:r w:rsidRPr="00E743B7">
        <w:rPr>
          <w:b/>
          <w:sz w:val="22"/>
          <w:szCs w:val="22"/>
          <w:lang w:val="sr-Latn-CS"/>
        </w:rPr>
        <w:t>50</w:t>
      </w:r>
      <w:r w:rsidRPr="00E743B7">
        <w:rPr>
          <w:b/>
          <w:sz w:val="22"/>
          <w:szCs w:val="22"/>
          <w:lang w:val="sr-Cyrl-CS"/>
        </w:rPr>
        <w:t xml:space="preserve">                                       </w:t>
      </w:r>
      <w:r>
        <w:rPr>
          <w:b/>
          <w:sz w:val="22"/>
          <w:szCs w:val="22"/>
          <w:lang w:val="sr-Cyrl-CS"/>
        </w:rPr>
        <w:t xml:space="preserve">                             </w:t>
      </w:r>
    </w:p>
    <w:p w:rsidR="00E743B7" w:rsidRPr="00E743B7" w:rsidRDefault="00E743B7" w:rsidP="00E743B7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 xml:space="preserve">                                         </w:t>
      </w:r>
      <w:r w:rsidRPr="00E743B7">
        <w:rPr>
          <w:b/>
          <w:sz w:val="22"/>
          <w:szCs w:val="22"/>
        </w:rPr>
        <w:t>Bore Stankovića 2, 11250 Beograd</w:t>
      </w:r>
      <w:r w:rsidRPr="00E743B7">
        <w:rPr>
          <w:b/>
          <w:sz w:val="22"/>
          <w:szCs w:val="22"/>
          <w:lang w:val="sr-Cyrl-CS"/>
        </w:rPr>
        <w:t>,</w:t>
      </w:r>
    </w:p>
    <w:p w:rsidR="00E743B7" w:rsidRPr="00E743B7" w:rsidRDefault="00E743B7" w:rsidP="00E743B7">
      <w:pPr>
        <w:jc w:val="both"/>
        <w:rPr>
          <w:b/>
          <w:sz w:val="22"/>
          <w:szCs w:val="22"/>
          <w:lang w:val="sr-Cyrl-CS"/>
        </w:rPr>
      </w:pPr>
      <w:r w:rsidRPr="00E743B7">
        <w:rPr>
          <w:b/>
          <w:sz w:val="22"/>
          <w:szCs w:val="22"/>
          <w:lang w:val="sr-Cyrl-CS"/>
        </w:rPr>
        <w:t xml:space="preserve">       </w:t>
      </w:r>
      <w:r>
        <w:rPr>
          <w:b/>
          <w:sz w:val="22"/>
          <w:szCs w:val="22"/>
          <w:lang w:val="sr-Cyrl-CS"/>
        </w:rPr>
        <w:t xml:space="preserve">                        </w:t>
      </w:r>
      <w:r w:rsidRPr="00E743B7">
        <w:rPr>
          <w:b/>
          <w:sz w:val="22"/>
          <w:szCs w:val="22"/>
          <w:lang w:val="sr-Cyrl-CS"/>
        </w:rPr>
        <w:t xml:space="preserve">   За партије 1,2,4,5,6,7,8,10,11,12,13,14,15,16,17,18</w:t>
      </w:r>
    </w:p>
    <w:p w:rsidR="00E743B7" w:rsidRPr="00E743B7" w:rsidRDefault="00E743B7" w:rsidP="00E743B7">
      <w:pPr>
        <w:jc w:val="both"/>
        <w:rPr>
          <w:lang w:val="sr-Cyrl-CS"/>
        </w:rPr>
      </w:pPr>
      <w:r w:rsidRPr="00AE1775">
        <w:t>Неблаговремено пристиглих понуда није било</w:t>
      </w:r>
    </w:p>
    <w:p w:rsidR="00E24DFE" w:rsidRDefault="00E24DFE" w:rsidP="00E24DFE">
      <w:pPr>
        <w:ind w:right="-574" w:firstLine="708"/>
        <w:jc w:val="both"/>
        <w:rPr>
          <w:lang w:val="sr-Cyrl-CS"/>
        </w:rPr>
      </w:pPr>
    </w:p>
    <w:p w:rsidR="00BB4EAF" w:rsidRDefault="00BB4EAF" w:rsidP="000A1473">
      <w:pPr>
        <w:pStyle w:val="ListParagraph"/>
        <w:numPr>
          <w:ilvl w:val="0"/>
          <w:numId w:val="2"/>
        </w:numPr>
        <w:ind w:right="-574"/>
        <w:jc w:val="both"/>
        <w:rPr>
          <w:lang w:val="sr-Cyrl-CS"/>
        </w:rPr>
      </w:pPr>
      <w:r w:rsidRPr="00BB4EAF">
        <w:rPr>
          <w:lang w:val="sr-Cyrl-CS"/>
        </w:rPr>
        <w:t>УКУПАН БРОЈ ПОДНЕТИХ ПОНУДА И ПОНУЂЕНА ЦЕНА ЗА ПАРТИЈЕ:</w:t>
      </w:r>
    </w:p>
    <w:tbl>
      <w:tblPr>
        <w:tblW w:w="57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607"/>
        <w:gridCol w:w="1417"/>
        <w:gridCol w:w="1797"/>
      </w:tblGrid>
      <w:tr w:rsidR="00CA255F" w:rsidRPr="00605BBF" w:rsidTr="00CA255F">
        <w:trPr>
          <w:trHeight w:val="2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79646" w:fill="F79646"/>
            <w:vAlign w:val="center"/>
            <w:hideMark/>
          </w:tcPr>
          <w:p w:rsidR="00CA255F" w:rsidRPr="00605BBF" w:rsidRDefault="00CA255F" w:rsidP="00A71DF5">
            <w:pPr>
              <w:jc w:val="center"/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605BBF">
              <w:rPr>
                <w:b/>
                <w:bCs/>
                <w:color w:val="000000"/>
                <w:sz w:val="18"/>
                <w:szCs w:val="18"/>
                <w:lang w:val="sr-Latn-CS" w:eastAsia="sr-Latn-CS"/>
              </w:rPr>
              <w:t>partija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rPr>
                <w:rFonts w:ascii="MS Sans Serif" w:hAnsi="MS Sans Serif"/>
                <w:sz w:val="18"/>
                <w:szCs w:val="18"/>
                <w:lang w:val="sr-Latn-CS" w:eastAsia="sr-Latn-CS"/>
              </w:rPr>
            </w:pPr>
            <w:r w:rsidRPr="00605BBF">
              <w:rPr>
                <w:rFonts w:ascii="MS Sans Serif" w:hAnsi="MS Sans Serif"/>
                <w:sz w:val="18"/>
                <w:szCs w:val="18"/>
                <w:lang w:val="sr-Latn-CS" w:eastAsia="sr-Latn-CS"/>
              </w:rPr>
              <w:t>broj ponuda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F16299" w:rsidRDefault="00CA255F" w:rsidP="00A71D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sr-Cyrl-CS" w:eastAsia="sr-Latn-CS"/>
              </w:rPr>
              <w:t xml:space="preserve"> </w:t>
            </w: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highlight w:val="yellow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highlight w:val="yellow"/>
                <w:lang w:val="sr-Latn-CS" w:eastAsia="sr-Latn-CS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highlight w:val="yellow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highlight w:val="yellow"/>
                <w:lang w:val="sr-Latn-CS" w:eastAsia="sr-Latn-CS"/>
              </w:rPr>
              <w:t>0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lastRenderedPageBreak/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0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17"/>
                <w:szCs w:val="17"/>
                <w:lang w:val="sr-Latn-CS" w:eastAsia="sr-Latn-CS"/>
              </w:rPr>
              <w:t>1</w:t>
            </w:r>
          </w:p>
        </w:tc>
        <w:tc>
          <w:tcPr>
            <w:tcW w:w="141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797" w:type="dxa"/>
            <w:vAlign w:val="bottom"/>
          </w:tcPr>
          <w:p w:rsidR="00CA255F" w:rsidRPr="00E743B7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CA255F" w:rsidRPr="00605BBF" w:rsidTr="00CA255F">
        <w:trPr>
          <w:gridAfter w:val="2"/>
          <w:wAfter w:w="3214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</w:t>
            </w:r>
          </w:p>
        </w:tc>
      </w:tr>
      <w:tr w:rsidR="00CA255F" w:rsidRPr="00605BBF" w:rsidTr="00CA255F">
        <w:trPr>
          <w:gridAfter w:val="2"/>
          <w:wAfter w:w="3214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5F" w:rsidRPr="00605BBF" w:rsidRDefault="00CA255F" w:rsidP="00A71DF5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</w:pPr>
            <w:r w:rsidRPr="00605BBF">
              <w:rPr>
                <w:rFonts w:ascii="MS Sans Serif" w:hAnsi="MS Sans Serif"/>
                <w:b/>
                <w:bCs/>
                <w:sz w:val="20"/>
                <w:szCs w:val="20"/>
                <w:lang w:val="sr-Latn-CS" w:eastAsia="sr-Latn-CS"/>
              </w:rPr>
              <w:t>1</w:t>
            </w:r>
          </w:p>
        </w:tc>
      </w:tr>
    </w:tbl>
    <w:p w:rsidR="00E743B7" w:rsidRDefault="00E743B7" w:rsidP="00BB4EAF">
      <w:pPr>
        <w:jc w:val="both"/>
        <w:rPr>
          <w:b/>
          <w:lang w:val="sr-Cyrl-CS"/>
        </w:rPr>
      </w:pP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2126"/>
      </w:tblGrid>
      <w:tr w:rsidR="00F16299" w:rsidRPr="00F20737" w:rsidTr="006F48C0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9646" w:fill="F79646"/>
            <w:vAlign w:val="center"/>
            <w:hideMark/>
          </w:tcPr>
          <w:p w:rsidR="00F16299" w:rsidRPr="00F20737" w:rsidRDefault="00F16299" w:rsidP="006F48C0">
            <w:pPr>
              <w:jc w:val="center"/>
              <w:rPr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20737">
              <w:rPr>
                <w:b/>
                <w:bCs/>
                <w:color w:val="000000"/>
                <w:sz w:val="20"/>
                <w:szCs w:val="20"/>
                <w:lang w:val="sr-Latn-CS" w:eastAsia="sr-Latn-CS"/>
              </w:rPr>
              <w:t>Број партије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79646" w:fill="F79646"/>
            <w:vAlign w:val="center"/>
            <w:hideMark/>
          </w:tcPr>
          <w:p w:rsidR="00F16299" w:rsidRPr="00F20737" w:rsidRDefault="00F16299" w:rsidP="006F48C0">
            <w:pPr>
              <w:jc w:val="center"/>
              <w:rPr>
                <w:color w:val="000000"/>
                <w:sz w:val="20"/>
                <w:szCs w:val="20"/>
                <w:lang w:val="sr-Latn-CS" w:eastAsia="sr-Latn-CS"/>
              </w:rPr>
            </w:pPr>
            <w:r w:rsidRPr="00F20737">
              <w:rPr>
                <w:color w:val="000000"/>
                <w:sz w:val="20"/>
                <w:szCs w:val="20"/>
                <w:lang w:val="sr-Latn-CS" w:eastAsia="sr-Latn-CS"/>
              </w:rPr>
              <w:t xml:space="preserve">Укупан износ понуде без ПДВ 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99" w:rsidRPr="00F20737" w:rsidRDefault="00F16299" w:rsidP="006F48C0">
            <w:pPr>
              <w:rPr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299" w:rsidRPr="00F20737" w:rsidRDefault="00F16299" w:rsidP="006F48C0">
            <w:pPr>
              <w:rPr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21,735.00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17,630.80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002E4C" w:rsidRDefault="00F16299" w:rsidP="006F48C0">
            <w:pPr>
              <w:jc w:val="right"/>
              <w:rPr>
                <w:rFonts w:asciiTheme="minorHAnsi" w:hAnsiTheme="minorHAnsi"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002E4C" w:rsidRDefault="00F16299" w:rsidP="006F48C0">
            <w:pPr>
              <w:jc w:val="right"/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</w:pPr>
            <w:r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  <w:t>19.892,20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7,033.50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16,326.00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87,405.40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11,840.40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2,650.00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002E4C" w:rsidRDefault="00F16299" w:rsidP="006F48C0">
            <w:pPr>
              <w:jc w:val="right"/>
              <w:rPr>
                <w:rFonts w:asciiTheme="minorHAnsi" w:hAnsiTheme="minorHAnsi"/>
                <w:sz w:val="20"/>
                <w:szCs w:val="20"/>
                <w:lang w:val="sr-Cyrl-CS" w:eastAsia="sr-Latn-C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CS" w:eastAsia="sr-Latn-CS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A71DF5" w:rsidRDefault="00F341B7" w:rsidP="00F341B7">
            <w:pPr>
              <w:jc w:val="right"/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</w:pPr>
            <w:r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  <w:t>5.490</w:t>
            </w:r>
            <w:r w:rsidR="00F16299">
              <w:rPr>
                <w:rFonts w:asciiTheme="minorHAnsi" w:hAnsiTheme="minorHAnsi"/>
                <w:sz w:val="17"/>
                <w:szCs w:val="17"/>
                <w:lang w:val="sr-Cyrl-CS" w:eastAsia="sr-Latn-CS"/>
              </w:rPr>
              <w:t>,00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40,320.00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142,627.00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19,989.00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57,609.60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41,810.00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29,475.60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14,736.40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47,152.00</w:t>
            </w:r>
          </w:p>
        </w:tc>
      </w:tr>
      <w:tr w:rsidR="00F16299" w:rsidRPr="00F20737" w:rsidTr="006F48C0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20"/>
                <w:szCs w:val="20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20"/>
                <w:szCs w:val="20"/>
                <w:lang w:val="sr-Latn-CS" w:eastAsia="sr-Latn-CS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99" w:rsidRPr="00F20737" w:rsidRDefault="00F16299" w:rsidP="006F48C0">
            <w:pPr>
              <w:jc w:val="right"/>
              <w:rPr>
                <w:rFonts w:ascii="MS Sans Serif" w:hAnsi="MS Sans Serif"/>
                <w:sz w:val="17"/>
                <w:szCs w:val="17"/>
                <w:lang w:val="sr-Latn-CS" w:eastAsia="sr-Latn-CS"/>
              </w:rPr>
            </w:pPr>
            <w:r w:rsidRPr="00F20737">
              <w:rPr>
                <w:rFonts w:ascii="MS Sans Serif" w:hAnsi="MS Sans Serif"/>
                <w:sz w:val="17"/>
                <w:szCs w:val="17"/>
                <w:lang w:val="sr-Latn-CS" w:eastAsia="sr-Latn-CS"/>
              </w:rPr>
              <w:t>10,895.00</w:t>
            </w:r>
          </w:p>
        </w:tc>
      </w:tr>
    </w:tbl>
    <w:p w:rsidR="00F16299" w:rsidRDefault="00F16299" w:rsidP="00BB4EAF">
      <w:pPr>
        <w:jc w:val="both"/>
        <w:rPr>
          <w:b/>
          <w:lang w:val="sr-Cyrl-CS"/>
        </w:rPr>
      </w:pPr>
    </w:p>
    <w:p w:rsidR="00593835" w:rsidRDefault="000A1473" w:rsidP="000A1473">
      <w:pPr>
        <w:tabs>
          <w:tab w:val="left" w:pos="0"/>
        </w:tabs>
        <w:ind w:firstLine="720"/>
        <w:jc w:val="both"/>
        <w:rPr>
          <w:lang w:val="sr-Cyrl-CS"/>
        </w:rPr>
      </w:pPr>
      <w:r>
        <w:rPr>
          <w:lang w:val="sr-Cyrl-CS"/>
        </w:rPr>
        <w:t>9</w:t>
      </w:r>
      <w:r w:rsidR="00593835">
        <w:rPr>
          <w:lang w:val="sr-Cyrl-CS"/>
        </w:rPr>
        <w:t>.) ПОНУДЕ КОЈЕ СУ ОДБИЈЕНЕ, РАЗЛОГ ЗА ЊИХОВО ОДБИЈАЊЕ И ПОНУЂЕНУ ЦЕНУ ТИХ ПОНУДА</w:t>
      </w:r>
    </w:p>
    <w:p w:rsidR="00593835" w:rsidRPr="00CA255F" w:rsidRDefault="00CA255F" w:rsidP="00CA255F">
      <w:pPr>
        <w:tabs>
          <w:tab w:val="left" w:pos="6030"/>
        </w:tabs>
        <w:rPr>
          <w:lang w:val="sr-Cyrl-CS"/>
        </w:rPr>
      </w:pPr>
      <w:r w:rsidRPr="00CA255F">
        <w:rPr>
          <w:lang w:val="sr-Cyrl-CS"/>
        </w:rPr>
        <w:t>Нема таквих понуда</w:t>
      </w:r>
    </w:p>
    <w:p w:rsidR="000A1473" w:rsidRPr="000A1473" w:rsidRDefault="000A1473" w:rsidP="000A1473">
      <w:pPr>
        <w:tabs>
          <w:tab w:val="left" w:pos="0"/>
        </w:tabs>
        <w:ind w:left="720"/>
        <w:jc w:val="both"/>
        <w:rPr>
          <w:lang w:val="sr-Cyrl-CS"/>
        </w:rPr>
      </w:pPr>
      <w:r>
        <w:rPr>
          <w:lang w:val="sr-Cyrl-CS"/>
        </w:rPr>
        <w:t>10.)</w:t>
      </w:r>
      <w:r w:rsidR="00152899" w:rsidRPr="000A1473">
        <w:rPr>
          <w:lang w:val="sr-Cyrl-CS"/>
        </w:rPr>
        <w:t>НАЧИН ПРИМЕНЕ МЕТОДОЛОГИЈЕ ДОДЕЛЕ ПОНДЕРА</w:t>
      </w:r>
    </w:p>
    <w:p w:rsidR="00152899" w:rsidRPr="000A1473" w:rsidRDefault="00152899" w:rsidP="000A1473">
      <w:pPr>
        <w:tabs>
          <w:tab w:val="left" w:pos="0"/>
        </w:tabs>
        <w:jc w:val="both"/>
        <w:rPr>
          <w:lang w:val="sr-Cyrl-CS"/>
        </w:rPr>
      </w:pPr>
      <w:r w:rsidRPr="000A1473">
        <w:rPr>
          <w:rFonts w:eastAsia="TimesNewRoman"/>
          <w:color w:val="000000"/>
          <w:lang w:val="ru-RU"/>
        </w:rPr>
        <w:t xml:space="preserve">Оцењивање и рангирање понуда заснива се на </w:t>
      </w:r>
      <w:r w:rsidRPr="000A1473">
        <w:rPr>
          <w:lang w:val="sr-Cyrl-CS"/>
        </w:rPr>
        <w:t>критеријуму економски најповољнија понуда.</w:t>
      </w:r>
    </w:p>
    <w:tbl>
      <w:tblPr>
        <w:tblW w:w="9641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"/>
        <w:gridCol w:w="7182"/>
        <w:gridCol w:w="2003"/>
      </w:tblGrid>
      <w:tr w:rsidR="00754D4B" w:rsidRPr="00AF6AAE" w:rsidTr="00E24DFE"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4D4B" w:rsidRPr="00AF6AAE" w:rsidRDefault="00754D4B" w:rsidP="00E24DFE">
            <w:pPr>
              <w:pStyle w:val="TableContents"/>
              <w:snapToGrid w:val="0"/>
              <w:spacing w:line="240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300C25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1</w:t>
            </w:r>
            <w:r w:rsidRPr="00AF6AAE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7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4D4B" w:rsidRPr="00AF6AAE" w:rsidRDefault="00754D4B" w:rsidP="00E24DFE">
            <w:pPr>
              <w:pStyle w:val="TableContents"/>
              <w:snapToGrid w:val="0"/>
              <w:spacing w:line="240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AF6AAE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Цена</w:t>
            </w:r>
          </w:p>
        </w:tc>
        <w:tc>
          <w:tcPr>
            <w:tcW w:w="2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4D4B" w:rsidRPr="00AF6AAE" w:rsidRDefault="00754D4B" w:rsidP="00E24DFE">
            <w:pPr>
              <w:pStyle w:val="TableContents"/>
              <w:snapToGrid w:val="0"/>
              <w:spacing w:line="240" w:lineRule="auto"/>
              <w:ind w:right="-99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40</w:t>
            </w:r>
            <w:r w:rsidRPr="00AF6AAE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,00 пондера</w:t>
            </w:r>
          </w:p>
        </w:tc>
      </w:tr>
    </w:tbl>
    <w:p w:rsidR="00754D4B" w:rsidRPr="00AF6AAE" w:rsidRDefault="00754D4B" w:rsidP="00E24DFE">
      <w:pPr>
        <w:ind w:right="-99"/>
        <w:jc w:val="both"/>
        <w:rPr>
          <w:rFonts w:ascii="Arial" w:hAnsi="Arial" w:cs="Arial"/>
          <w:sz w:val="22"/>
          <w:szCs w:val="22"/>
          <w:lang w:val="sr-Cyrl-CS"/>
        </w:rPr>
      </w:pPr>
      <w:r w:rsidRPr="00AF6AAE">
        <w:rPr>
          <w:rFonts w:ascii="Arial" w:hAnsi="Arial" w:cs="Arial"/>
          <w:sz w:val="22"/>
          <w:szCs w:val="22"/>
          <w:lang w:val="sr-Cyrl-CS"/>
        </w:rPr>
        <w:t>Код овог елемента критеријума упоређује се понуђена цена по партији из  понуде, међу појединачним поднешеним понудама.</w:t>
      </w:r>
    </w:p>
    <w:p w:rsidR="00754D4B" w:rsidRPr="000A1473" w:rsidRDefault="00754D4B" w:rsidP="00E24DFE">
      <w:pPr>
        <w:ind w:right="-99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 w:rsidRPr="00AF6AAE">
        <w:rPr>
          <w:rFonts w:ascii="Arial" w:hAnsi="Arial" w:cs="Arial"/>
          <w:sz w:val="22"/>
          <w:szCs w:val="22"/>
          <w:lang w:val="sr-Cyrl-CS"/>
        </w:rPr>
        <w:tab/>
        <w:t xml:space="preserve">Понуда са </w:t>
      </w:r>
      <w:r w:rsidRPr="00AF6AAE">
        <w:rPr>
          <w:rFonts w:ascii="Arial" w:hAnsi="Arial" w:cs="Arial"/>
          <w:b/>
          <w:bCs/>
          <w:sz w:val="22"/>
          <w:szCs w:val="22"/>
          <w:lang w:val="sr-Cyrl-CS"/>
        </w:rPr>
        <w:t>најнижом ценом</w:t>
      </w:r>
      <w:r w:rsidRPr="00AF6AAE">
        <w:rPr>
          <w:rFonts w:ascii="Arial" w:hAnsi="Arial" w:cs="Arial"/>
          <w:sz w:val="22"/>
          <w:szCs w:val="22"/>
          <w:lang w:val="sr-Cyrl-CS"/>
        </w:rPr>
        <w:t xml:space="preserve"> добија максималан број пондера </w:t>
      </w:r>
      <w:r w:rsidRPr="007E0135">
        <w:rPr>
          <w:rFonts w:ascii="Arial" w:hAnsi="Arial" w:cs="Arial"/>
          <w:b/>
          <w:sz w:val="22"/>
          <w:szCs w:val="22"/>
          <w:lang w:val="sr-Cyrl-CS"/>
        </w:rPr>
        <w:t>– 40</w:t>
      </w:r>
      <w:r w:rsidRPr="007E0135">
        <w:rPr>
          <w:rFonts w:ascii="Arial" w:hAnsi="Arial" w:cs="Arial"/>
          <w:b/>
          <w:bCs/>
          <w:sz w:val="22"/>
          <w:szCs w:val="22"/>
          <w:lang w:val="sr-Cyrl-CS"/>
        </w:rPr>
        <w:t>,00</w:t>
      </w:r>
      <w:r w:rsidRPr="00AF6AAE">
        <w:rPr>
          <w:rFonts w:ascii="Arial" w:hAnsi="Arial" w:cs="Arial"/>
          <w:b/>
          <w:bCs/>
          <w:sz w:val="22"/>
          <w:szCs w:val="22"/>
          <w:lang w:val="sr-Cyrl-CS"/>
        </w:rPr>
        <w:t xml:space="preserve"> пондера.</w:t>
      </w:r>
      <w:r w:rsidRPr="00AF6AAE">
        <w:rPr>
          <w:rFonts w:ascii="Arial" w:hAnsi="Arial" w:cs="Arial"/>
          <w:sz w:val="22"/>
          <w:szCs w:val="22"/>
          <w:lang w:val="sr-Cyrl-CS"/>
        </w:rPr>
        <w:tab/>
      </w:r>
    </w:p>
    <w:p w:rsidR="00754D4B" w:rsidRPr="00AF6AAE" w:rsidRDefault="00754D4B" w:rsidP="00E24DFE">
      <w:pPr>
        <w:ind w:right="-99"/>
        <w:jc w:val="both"/>
        <w:rPr>
          <w:rFonts w:ascii="Arial" w:hAnsi="Arial" w:cs="Arial"/>
          <w:sz w:val="22"/>
          <w:szCs w:val="22"/>
          <w:lang w:val="sr-Cyrl-CS"/>
        </w:rPr>
      </w:pPr>
      <w:r w:rsidRPr="00AF6AAE">
        <w:rPr>
          <w:rFonts w:ascii="Arial" w:hAnsi="Arial" w:cs="Arial"/>
          <w:sz w:val="22"/>
          <w:szCs w:val="22"/>
          <w:lang w:val="sr-Cyrl-CS"/>
        </w:rPr>
        <w:t>Остале понуде се вреднују по следећој формули:</w:t>
      </w:r>
    </w:p>
    <w:p w:rsidR="00754D4B" w:rsidRPr="00AF6AAE" w:rsidRDefault="00754D4B" w:rsidP="00E24DFE">
      <w:pPr>
        <w:ind w:right="-99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 w:rsidRPr="00AF6AAE"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>Ц = ( Ц мин. / Ц понуде ) х 40</w:t>
      </w:r>
      <w:r w:rsidRPr="00AF6AAE">
        <w:rPr>
          <w:rFonts w:ascii="Arial" w:hAnsi="Arial" w:cs="Arial"/>
          <w:b/>
          <w:bCs/>
          <w:sz w:val="22"/>
          <w:szCs w:val="22"/>
          <w:lang w:val="sr-Cyrl-CS"/>
        </w:rPr>
        <w:t>,00</w:t>
      </w:r>
    </w:p>
    <w:p w:rsidR="00754D4B" w:rsidRPr="00AF6AAE" w:rsidRDefault="00754D4B" w:rsidP="00E24DFE">
      <w:pPr>
        <w:ind w:right="-99"/>
        <w:jc w:val="both"/>
        <w:rPr>
          <w:rFonts w:ascii="Arial" w:hAnsi="Arial" w:cs="Arial"/>
          <w:sz w:val="22"/>
          <w:szCs w:val="22"/>
          <w:lang w:val="sr-Cyrl-CS"/>
        </w:rPr>
      </w:pPr>
      <w:r w:rsidRPr="00AF6AAE">
        <w:rPr>
          <w:rFonts w:ascii="Arial" w:hAnsi="Arial" w:cs="Arial"/>
          <w:sz w:val="22"/>
          <w:szCs w:val="22"/>
          <w:lang w:val="sr-Cyrl-CS"/>
        </w:rPr>
        <w:tab/>
      </w:r>
      <w:r w:rsidRPr="00AF6AAE">
        <w:rPr>
          <w:rFonts w:ascii="Arial" w:hAnsi="Arial" w:cs="Arial"/>
          <w:b/>
          <w:bCs/>
          <w:sz w:val="22"/>
          <w:szCs w:val="22"/>
          <w:lang w:val="sr-Cyrl-CS"/>
        </w:rPr>
        <w:t>Ц</w:t>
      </w:r>
      <w:r w:rsidRPr="00AF6AAE">
        <w:rPr>
          <w:rFonts w:ascii="Arial" w:hAnsi="Arial" w:cs="Arial"/>
          <w:sz w:val="22"/>
          <w:szCs w:val="22"/>
          <w:lang w:val="sr-Cyrl-CS"/>
        </w:rPr>
        <w:t xml:space="preserve"> – број пондера за елеменат критеријума – цена;</w:t>
      </w:r>
    </w:p>
    <w:p w:rsidR="00754D4B" w:rsidRPr="00AF6AAE" w:rsidRDefault="00754D4B" w:rsidP="00E24DFE">
      <w:pPr>
        <w:ind w:right="-99"/>
        <w:jc w:val="both"/>
        <w:rPr>
          <w:rFonts w:ascii="Arial" w:hAnsi="Arial" w:cs="Arial"/>
          <w:sz w:val="22"/>
          <w:szCs w:val="22"/>
          <w:lang w:val="sr-Cyrl-CS"/>
        </w:rPr>
      </w:pPr>
      <w:r w:rsidRPr="00AF6AAE">
        <w:rPr>
          <w:rFonts w:ascii="Arial" w:hAnsi="Arial" w:cs="Arial"/>
          <w:sz w:val="22"/>
          <w:szCs w:val="22"/>
          <w:lang w:val="sr-Cyrl-CS"/>
        </w:rPr>
        <w:lastRenderedPageBreak/>
        <w:t xml:space="preserve">             </w:t>
      </w:r>
      <w:r w:rsidRPr="00AF6AAE">
        <w:rPr>
          <w:rFonts w:ascii="Arial" w:hAnsi="Arial" w:cs="Arial"/>
          <w:b/>
          <w:bCs/>
          <w:sz w:val="22"/>
          <w:szCs w:val="22"/>
          <w:lang w:val="sr-Cyrl-CS"/>
        </w:rPr>
        <w:t>Ц мин.</w:t>
      </w:r>
      <w:r w:rsidRPr="00AF6AAE">
        <w:rPr>
          <w:rFonts w:ascii="Arial" w:hAnsi="Arial" w:cs="Arial"/>
          <w:sz w:val="22"/>
          <w:szCs w:val="22"/>
          <w:lang w:val="sr-Cyrl-CS"/>
        </w:rPr>
        <w:t xml:space="preserve"> - најнижа понуђена цена за партију</w:t>
      </w:r>
    </w:p>
    <w:p w:rsidR="00754D4B" w:rsidRPr="00AF6AAE" w:rsidRDefault="00754D4B" w:rsidP="00E24DFE">
      <w:pPr>
        <w:ind w:right="-99"/>
        <w:jc w:val="both"/>
        <w:rPr>
          <w:rFonts w:ascii="Arial" w:hAnsi="Arial" w:cs="Arial"/>
          <w:b/>
          <w:bCs/>
          <w:sz w:val="22"/>
          <w:szCs w:val="22"/>
          <w:lang w:val="sr-Cyrl-BA"/>
        </w:rPr>
      </w:pPr>
      <w:r w:rsidRPr="00AF6AAE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Pr="00AF6AAE">
        <w:rPr>
          <w:rFonts w:ascii="Arial" w:hAnsi="Arial" w:cs="Arial"/>
          <w:b/>
          <w:bCs/>
          <w:sz w:val="22"/>
          <w:szCs w:val="22"/>
          <w:lang w:val="sr-Cyrl-CS"/>
        </w:rPr>
        <w:t>Ц понуде</w:t>
      </w:r>
      <w:r w:rsidRPr="00AF6AAE">
        <w:rPr>
          <w:rFonts w:ascii="Arial" w:hAnsi="Arial" w:cs="Arial"/>
          <w:sz w:val="22"/>
          <w:szCs w:val="22"/>
          <w:lang w:val="sr-Cyrl-CS"/>
        </w:rPr>
        <w:t xml:space="preserve"> – понуђена цена за партију из понуде која се оцењује.</w:t>
      </w:r>
      <w:r w:rsidRPr="00AF6AAE">
        <w:rPr>
          <w:rFonts w:ascii="Arial" w:hAnsi="Arial" w:cs="Arial"/>
          <w:b/>
          <w:bCs/>
          <w:sz w:val="22"/>
          <w:szCs w:val="22"/>
          <w:lang w:val="sr-Cyrl-BA"/>
        </w:rPr>
        <w:tab/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708"/>
        <w:gridCol w:w="1134"/>
        <w:gridCol w:w="1418"/>
        <w:gridCol w:w="1134"/>
        <w:gridCol w:w="1559"/>
        <w:gridCol w:w="821"/>
        <w:gridCol w:w="597"/>
        <w:gridCol w:w="1559"/>
      </w:tblGrid>
      <w:tr w:rsidR="00CA255F" w:rsidRPr="00AF6AAE" w:rsidTr="00A71DF5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55F" w:rsidRPr="00AF6AAE" w:rsidRDefault="00CA255F" w:rsidP="00A71DF5">
            <w:pPr>
              <w:pStyle w:val="TableContents"/>
              <w:snapToGrid w:val="0"/>
              <w:spacing w:line="240" w:lineRule="auto"/>
              <w:ind w:right="-49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AF6AAE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77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55F" w:rsidRDefault="00CA255F" w:rsidP="00A71DF5">
            <w:pPr>
              <w:ind w:right="-492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 w:rsidRPr="00AF6AAE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Услови плаћања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натурални рабат </w:t>
            </w:r>
            <w:r w:rsidRPr="00646C2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за задате рокове плаћања</w:t>
            </w:r>
            <w:r w:rsidRPr="00646C2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+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п</w:t>
            </w:r>
            <w:r w:rsidRPr="00646C2E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онуђени</w:t>
            </w:r>
          </w:p>
          <w:p w:rsidR="00CA255F" w:rsidRPr="00195B57" w:rsidRDefault="00CA255F" w:rsidP="00A71DF5">
            <w:pPr>
              <w:ind w:right="-492"/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</w:pPr>
            <w:r w:rsidRPr="00646C2E"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>бонус на остварени месечни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r-Cyrl-CS"/>
              </w:rPr>
              <w:t xml:space="preserve"> </w:t>
            </w:r>
            <w:r w:rsidRPr="00646C2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обим промета</w:t>
            </w:r>
            <w:r w:rsidRPr="00646C2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21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255F" w:rsidRPr="00AF6AAE" w:rsidRDefault="00CA255F" w:rsidP="00A71DF5">
            <w:pPr>
              <w:pStyle w:val="TableContents"/>
              <w:snapToGrid w:val="0"/>
              <w:spacing w:line="240" w:lineRule="auto"/>
              <w:ind w:right="-492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60</w:t>
            </w:r>
            <w:r w:rsidRPr="00AF6AAE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,00 пондера</w:t>
            </w:r>
          </w:p>
        </w:tc>
      </w:tr>
      <w:tr w:rsidR="00CA255F" w:rsidRPr="00204E58" w:rsidTr="00A71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5F" w:rsidRPr="00204E58" w:rsidRDefault="00CA255F" w:rsidP="00A71DF5">
            <w:pPr>
              <w:ind w:right="-49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Услови 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 плаћања 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964879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(п</w:t>
            </w:r>
            <w:r w:rsidRPr="00964879">
              <w:rPr>
                <w:rFonts w:ascii="Arial" w:hAnsi="Arial" w:cs="Arial"/>
                <w:color w:val="000000"/>
                <w:sz w:val="16"/>
                <w:szCs w:val="16"/>
              </w:rPr>
              <w:t xml:space="preserve">онуђени 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натурални </w:t>
            </w:r>
          </w:p>
          <w:p w:rsidR="00CA255F" w:rsidRPr="007E0135" w:rsidRDefault="00CA255F" w:rsidP="00A71DF5">
            <w:pPr>
              <w:ind w:right="-492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рабат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964879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)</w:t>
            </w:r>
          </w:p>
          <w:p w:rsidR="00CA255F" w:rsidRPr="00204E58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90</w:t>
            </w: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дана</w:t>
            </w: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Услови 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 плаћања 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964879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(п</w:t>
            </w:r>
            <w:r w:rsidRPr="00964879">
              <w:rPr>
                <w:rFonts w:ascii="Arial" w:hAnsi="Arial" w:cs="Arial"/>
                <w:color w:val="000000"/>
                <w:sz w:val="16"/>
                <w:szCs w:val="16"/>
              </w:rPr>
              <w:t xml:space="preserve">онуђени 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натурални </w:t>
            </w:r>
          </w:p>
          <w:p w:rsidR="00CA255F" w:rsidRPr="007E0135" w:rsidRDefault="00CA255F" w:rsidP="00A71DF5">
            <w:pPr>
              <w:ind w:right="-492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рабат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964879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)</w:t>
            </w:r>
          </w:p>
          <w:p w:rsidR="00CA255F" w:rsidRPr="00964879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120</w:t>
            </w: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дана</w:t>
            </w: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Услови 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 плаћања 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964879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(п</w:t>
            </w:r>
            <w:r w:rsidRPr="00964879">
              <w:rPr>
                <w:rFonts w:ascii="Arial" w:hAnsi="Arial" w:cs="Arial"/>
                <w:color w:val="000000"/>
                <w:sz w:val="16"/>
                <w:szCs w:val="16"/>
              </w:rPr>
              <w:t xml:space="preserve">онуђени 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натурални </w:t>
            </w:r>
          </w:p>
          <w:p w:rsidR="00CA255F" w:rsidRPr="007E0135" w:rsidRDefault="00CA255F" w:rsidP="00A71DF5">
            <w:pPr>
              <w:ind w:right="-492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рабат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964879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)</w:t>
            </w:r>
          </w:p>
          <w:p w:rsidR="00CA255F" w:rsidRPr="00204E58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145</w:t>
            </w: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дана</w:t>
            </w: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br/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Услови 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 плаћања 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- п</w:t>
            </w: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t>онуђени</w:t>
            </w: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бонус  на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остварени 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месечни</w:t>
            </w:r>
          </w:p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обим промета </w:t>
            </w:r>
          </w:p>
          <w:p w:rsidR="00CA255F" w:rsidRPr="00204E58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(%)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55F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t>Понуђени</w:t>
            </w: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услови </w:t>
            </w:r>
          </w:p>
          <w:p w:rsidR="00CA255F" w:rsidRPr="00204E58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t>плаћања</w:t>
            </w: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5F" w:rsidRPr="00204E58" w:rsidRDefault="00CA255F" w:rsidP="00A71DF5">
            <w:pPr>
              <w:ind w:right="-49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Пондери </w:t>
            </w:r>
            <w:r w:rsidRPr="00204E58">
              <w:rPr>
                <w:rFonts w:ascii="Arial" w:hAnsi="Arial" w:cs="Arial"/>
                <w:color w:val="000000"/>
                <w:sz w:val="18"/>
                <w:szCs w:val="18"/>
              </w:rPr>
              <w:br/>
              <w:t>за услове плаћања</w:t>
            </w:r>
          </w:p>
        </w:tc>
      </w:tr>
      <w:tr w:rsidR="00CA255F" w:rsidRPr="007E0135" w:rsidTr="00A71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5F" w:rsidRPr="007E0135" w:rsidRDefault="00CA255F" w:rsidP="00A71DF5">
            <w:pPr>
              <w:ind w:right="-492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7E013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5F" w:rsidRPr="007E0135" w:rsidRDefault="00CA255F" w:rsidP="00A71DF5">
            <w:pPr>
              <w:ind w:right="-492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7E013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55F" w:rsidRPr="007E0135" w:rsidRDefault="00CA255F" w:rsidP="00A71DF5">
            <w:pPr>
              <w:ind w:right="-492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CS"/>
              </w:rPr>
            </w:pPr>
            <w:r w:rsidRPr="007E013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55F" w:rsidRPr="007E0135" w:rsidRDefault="00CA255F" w:rsidP="00A71DF5">
            <w:pPr>
              <w:ind w:right="-492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CS"/>
              </w:rPr>
            </w:pPr>
            <w:r w:rsidRPr="007E013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255F" w:rsidRPr="007E0135" w:rsidRDefault="00CA255F" w:rsidP="00A71DF5">
            <w:pPr>
              <w:ind w:right="-492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CS"/>
              </w:rPr>
            </w:pPr>
            <w:r w:rsidRPr="007E013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55F" w:rsidRPr="007E0135" w:rsidRDefault="00CA255F" w:rsidP="00A71DF5">
            <w:pPr>
              <w:ind w:right="-492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7E013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CS"/>
              </w:rPr>
              <w:t>6=</w:t>
            </w:r>
            <w:r w:rsidRPr="007E013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(2+3</w:t>
            </w:r>
            <w:r w:rsidRPr="007E013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CS"/>
              </w:rPr>
              <w:t>+4+5</w:t>
            </w:r>
            <w:r w:rsidRPr="007E013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55F" w:rsidRPr="007E0135" w:rsidRDefault="00CA255F" w:rsidP="00A71DF5">
            <w:pPr>
              <w:ind w:right="-492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CS"/>
              </w:rPr>
              <w:t xml:space="preserve">           7</w:t>
            </w:r>
          </w:p>
        </w:tc>
      </w:tr>
      <w:tr w:rsidR="00CA255F" w:rsidRPr="00AF6AAE" w:rsidTr="00A71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5F" w:rsidRPr="008C3809" w:rsidRDefault="00CA255F" w:rsidP="00A71DF5">
            <w:pPr>
              <w:ind w:right="-49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09">
              <w:rPr>
                <w:rFonts w:ascii="Arial" w:hAnsi="Arial" w:cs="Arial"/>
                <w:color w:val="000000"/>
                <w:sz w:val="16"/>
                <w:szCs w:val="16"/>
              </w:rPr>
              <w:t>Пон</w:t>
            </w:r>
            <w:r w:rsidRPr="008C3809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уђач </w:t>
            </w:r>
            <w:r w:rsidRPr="008C3809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color w:val="000000"/>
              </w:rPr>
            </w:pPr>
            <w:r w:rsidRPr="00AF6A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color w:val="000000"/>
              </w:rPr>
            </w:pPr>
            <w:r w:rsidRPr="00AF6A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F6A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A255F" w:rsidRPr="00AF6AAE" w:rsidTr="00A71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5F" w:rsidRPr="008C3809" w:rsidRDefault="00CA255F" w:rsidP="00A71DF5">
            <w:pPr>
              <w:ind w:right="-49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09">
              <w:rPr>
                <w:rFonts w:ascii="Arial" w:hAnsi="Arial" w:cs="Arial"/>
                <w:color w:val="000000"/>
                <w:sz w:val="16"/>
                <w:szCs w:val="16"/>
              </w:rPr>
              <w:t>Пон</w:t>
            </w:r>
            <w:r w:rsidRPr="008C3809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уђач</w:t>
            </w:r>
            <w:r w:rsidRPr="008C3809">
              <w:rPr>
                <w:rFonts w:ascii="Arial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color w:val="000000"/>
              </w:rPr>
            </w:pPr>
            <w:r w:rsidRPr="00AF6A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color w:val="000000"/>
              </w:rPr>
            </w:pPr>
            <w:r w:rsidRPr="00AF6A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F6A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A255F" w:rsidRPr="00AF6AAE" w:rsidTr="00A71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5F" w:rsidRPr="008C3809" w:rsidRDefault="00CA255F" w:rsidP="00A71DF5">
            <w:pPr>
              <w:ind w:right="-492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809">
              <w:rPr>
                <w:rFonts w:ascii="Arial" w:hAnsi="Arial" w:cs="Arial"/>
                <w:color w:val="000000"/>
                <w:sz w:val="16"/>
                <w:szCs w:val="16"/>
              </w:rPr>
              <w:t>Пон</w:t>
            </w:r>
            <w:r w:rsidRPr="008C3809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уђач</w:t>
            </w:r>
            <w:r w:rsidRPr="008C3809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color w:val="000000"/>
              </w:rPr>
            </w:pPr>
            <w:r w:rsidRPr="00AF6A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color w:val="000000"/>
              </w:rPr>
            </w:pPr>
            <w:r w:rsidRPr="00AF6A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F6A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5F" w:rsidRPr="00AF6AAE" w:rsidRDefault="00CA255F" w:rsidP="00A71DF5">
            <w:pPr>
              <w:ind w:right="-492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54D4B" w:rsidRPr="00AF6AAE" w:rsidRDefault="00754D4B" w:rsidP="00754D4B">
      <w:pPr>
        <w:ind w:right="-492"/>
        <w:jc w:val="both"/>
        <w:rPr>
          <w:rFonts w:ascii="Arial" w:hAnsi="Arial" w:cs="Arial"/>
          <w:sz w:val="22"/>
          <w:szCs w:val="22"/>
          <w:lang w:val="sr-Cyrl-CS"/>
        </w:rPr>
      </w:pPr>
      <w:r w:rsidRPr="00AF6AAE">
        <w:rPr>
          <w:rFonts w:ascii="Arial" w:hAnsi="Arial" w:cs="Arial"/>
          <w:sz w:val="22"/>
          <w:szCs w:val="22"/>
          <w:lang w:val="sr-Cyrl-CS"/>
        </w:rPr>
        <w:t>Код овог елемента критеријума упоређује се услови плаћања (</w:t>
      </w:r>
      <w:r>
        <w:rPr>
          <w:rFonts w:ascii="Arial" w:hAnsi="Arial" w:cs="Arial"/>
          <w:sz w:val="22"/>
          <w:szCs w:val="22"/>
          <w:lang w:val="sr-Cyrl-CS"/>
        </w:rPr>
        <w:t>натурални рабат + понуђени бонус на остварени месечни обим промета</w:t>
      </w:r>
      <w:r w:rsidRPr="00AF6AAE">
        <w:rPr>
          <w:rFonts w:ascii="Arial" w:hAnsi="Arial" w:cs="Arial"/>
          <w:sz w:val="22"/>
          <w:szCs w:val="22"/>
          <w:lang w:val="sr-Cyrl-CS"/>
        </w:rPr>
        <w:t>).</w:t>
      </w:r>
    </w:p>
    <w:p w:rsidR="00754D4B" w:rsidRDefault="00754D4B" w:rsidP="00754D4B">
      <w:pPr>
        <w:ind w:right="-492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 w:rsidRPr="00AF6AAE">
        <w:rPr>
          <w:rFonts w:ascii="Arial" w:hAnsi="Arial" w:cs="Arial"/>
          <w:sz w:val="22"/>
          <w:szCs w:val="22"/>
          <w:lang w:val="sr-Cyrl-CS"/>
        </w:rPr>
        <w:t>Понуда са</w:t>
      </w:r>
      <w:r>
        <w:rPr>
          <w:rFonts w:ascii="Arial" w:hAnsi="Arial" w:cs="Arial"/>
          <w:sz w:val="22"/>
          <w:szCs w:val="22"/>
          <w:lang w:val="sr-Cyrl-CS"/>
        </w:rPr>
        <w:t xml:space="preserve"> најповољнијим условима плаћања</w:t>
      </w:r>
      <w:r w:rsidR="000A1473">
        <w:rPr>
          <w:rFonts w:ascii="Arial" w:hAnsi="Arial" w:cs="Arial"/>
          <w:sz w:val="22"/>
          <w:szCs w:val="22"/>
          <w:lang w:val="sr-Cyrl-CS"/>
        </w:rPr>
        <w:t xml:space="preserve"> добија макс.</w:t>
      </w:r>
      <w:r w:rsidRPr="00AF6AAE">
        <w:rPr>
          <w:rFonts w:ascii="Arial" w:hAnsi="Arial" w:cs="Arial"/>
          <w:sz w:val="22"/>
          <w:szCs w:val="22"/>
          <w:lang w:val="sr-Cyrl-CS"/>
        </w:rPr>
        <w:t xml:space="preserve"> број пондера –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60</w:t>
      </w:r>
      <w:r w:rsidRPr="00AF6AAE">
        <w:rPr>
          <w:rFonts w:ascii="Arial" w:hAnsi="Arial" w:cs="Arial"/>
          <w:b/>
          <w:bCs/>
          <w:sz w:val="22"/>
          <w:szCs w:val="22"/>
          <w:lang w:val="sr-Cyrl-CS"/>
        </w:rPr>
        <w:t>,00 пондера.</w:t>
      </w:r>
    </w:p>
    <w:p w:rsidR="00754D4B" w:rsidRPr="00AF6AAE" w:rsidRDefault="00754D4B" w:rsidP="00754D4B">
      <w:pPr>
        <w:ind w:right="-492"/>
        <w:jc w:val="both"/>
        <w:rPr>
          <w:rFonts w:ascii="Arial" w:hAnsi="Arial" w:cs="Arial"/>
          <w:sz w:val="22"/>
          <w:szCs w:val="22"/>
          <w:lang w:val="sr-Cyrl-CS"/>
        </w:rPr>
      </w:pPr>
      <w:r w:rsidRPr="00AF6AAE">
        <w:rPr>
          <w:rFonts w:ascii="Arial" w:hAnsi="Arial" w:cs="Arial"/>
          <w:sz w:val="22"/>
          <w:szCs w:val="22"/>
          <w:lang w:val="sr-Cyrl-CS"/>
        </w:rPr>
        <w:t>Остале понуде се вреднују по следећој формули:</w:t>
      </w:r>
    </w:p>
    <w:p w:rsidR="00754D4B" w:rsidRPr="00AF6AAE" w:rsidRDefault="00754D4B" w:rsidP="00754D4B">
      <w:pPr>
        <w:ind w:right="-492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 w:rsidRPr="00AF6AAE"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>УП = ( УП понуде. / УП мах) х 60</w:t>
      </w:r>
      <w:r w:rsidRPr="00AF6AAE">
        <w:rPr>
          <w:rFonts w:ascii="Arial" w:hAnsi="Arial" w:cs="Arial"/>
          <w:b/>
          <w:bCs/>
          <w:sz w:val="22"/>
          <w:szCs w:val="22"/>
          <w:lang w:val="sr-Cyrl-CS"/>
        </w:rPr>
        <w:t>,00</w:t>
      </w:r>
    </w:p>
    <w:p w:rsidR="00754D4B" w:rsidRPr="00AF6AAE" w:rsidRDefault="00754D4B" w:rsidP="00754D4B">
      <w:pPr>
        <w:ind w:right="-492"/>
        <w:jc w:val="both"/>
        <w:rPr>
          <w:rFonts w:ascii="Arial" w:hAnsi="Arial" w:cs="Arial"/>
          <w:sz w:val="22"/>
          <w:szCs w:val="22"/>
          <w:lang w:val="sr-Cyrl-CS"/>
        </w:rPr>
      </w:pPr>
      <w:r w:rsidRPr="00AF6AAE">
        <w:rPr>
          <w:rFonts w:ascii="Arial" w:hAnsi="Arial" w:cs="Arial"/>
          <w:sz w:val="22"/>
          <w:szCs w:val="22"/>
          <w:lang w:val="sr-Cyrl-CS"/>
        </w:rPr>
        <w:tab/>
      </w:r>
      <w:r w:rsidRPr="00AF6AAE">
        <w:rPr>
          <w:rFonts w:ascii="Arial" w:hAnsi="Arial" w:cs="Arial"/>
          <w:b/>
          <w:bCs/>
          <w:sz w:val="22"/>
          <w:szCs w:val="22"/>
          <w:lang w:val="sr-Cyrl-CS"/>
        </w:rPr>
        <w:t>УП</w:t>
      </w:r>
      <w:r w:rsidRPr="00AF6AAE">
        <w:rPr>
          <w:rFonts w:ascii="Arial" w:hAnsi="Arial" w:cs="Arial"/>
          <w:sz w:val="22"/>
          <w:szCs w:val="22"/>
          <w:lang w:val="sr-Cyrl-CS"/>
        </w:rPr>
        <w:t xml:space="preserve"> – број пондера за елеменат критеријума – ус</w:t>
      </w:r>
      <w:r>
        <w:rPr>
          <w:rFonts w:ascii="Arial" w:hAnsi="Arial" w:cs="Arial"/>
          <w:sz w:val="22"/>
          <w:szCs w:val="22"/>
          <w:lang w:val="sr-Cyrl-CS"/>
        </w:rPr>
        <w:t>лови плаћања</w:t>
      </w:r>
    </w:p>
    <w:p w:rsidR="00754D4B" w:rsidRPr="00AF6AAE" w:rsidRDefault="00754D4B" w:rsidP="00754D4B">
      <w:pPr>
        <w:ind w:right="-492"/>
        <w:jc w:val="both"/>
        <w:rPr>
          <w:rFonts w:ascii="Arial" w:hAnsi="Arial" w:cs="Arial"/>
          <w:sz w:val="22"/>
          <w:szCs w:val="22"/>
          <w:lang w:val="sr-Cyrl-CS"/>
        </w:rPr>
      </w:pPr>
      <w:r w:rsidRPr="00AF6AAE">
        <w:rPr>
          <w:rFonts w:ascii="Arial" w:hAnsi="Arial" w:cs="Arial"/>
          <w:sz w:val="22"/>
          <w:szCs w:val="22"/>
          <w:lang w:val="sr-Cyrl-CS"/>
        </w:rPr>
        <w:tab/>
      </w:r>
      <w:r w:rsidRPr="00AF6AAE">
        <w:rPr>
          <w:rFonts w:ascii="Arial" w:hAnsi="Arial" w:cs="Arial"/>
          <w:b/>
          <w:bCs/>
          <w:sz w:val="22"/>
          <w:szCs w:val="22"/>
          <w:lang w:val="sr-Cyrl-CS"/>
        </w:rPr>
        <w:t>УП макс.</w:t>
      </w:r>
      <w:r w:rsidRPr="00AF6AAE">
        <w:rPr>
          <w:rFonts w:ascii="Arial" w:hAnsi="Arial" w:cs="Arial"/>
          <w:sz w:val="22"/>
          <w:szCs w:val="22"/>
          <w:lang w:val="sr-Cyrl-CS"/>
        </w:rPr>
        <w:t xml:space="preserve"> – Најповољнији услови плаћања; </w:t>
      </w:r>
    </w:p>
    <w:p w:rsidR="00754D4B" w:rsidRDefault="00754D4B" w:rsidP="00754D4B">
      <w:pPr>
        <w:ind w:right="-492"/>
        <w:jc w:val="both"/>
        <w:rPr>
          <w:rFonts w:ascii="Arial" w:hAnsi="Arial" w:cs="Arial"/>
          <w:sz w:val="22"/>
          <w:szCs w:val="22"/>
          <w:lang w:val="sr-Latn-CS"/>
        </w:rPr>
      </w:pPr>
      <w:r w:rsidRPr="00AF6AAE">
        <w:rPr>
          <w:rFonts w:ascii="Arial" w:hAnsi="Arial" w:cs="Arial"/>
          <w:sz w:val="22"/>
          <w:szCs w:val="22"/>
          <w:lang w:val="sr-Cyrl-CS"/>
        </w:rPr>
        <w:tab/>
      </w:r>
      <w:r w:rsidRPr="00AF6AAE">
        <w:rPr>
          <w:rFonts w:ascii="Arial" w:hAnsi="Arial" w:cs="Arial"/>
          <w:b/>
          <w:bCs/>
          <w:sz w:val="22"/>
          <w:szCs w:val="22"/>
          <w:lang w:val="sr-Cyrl-CS"/>
        </w:rPr>
        <w:t xml:space="preserve">УП понуде </w:t>
      </w:r>
      <w:r w:rsidRPr="00AF6AAE">
        <w:rPr>
          <w:rFonts w:ascii="Arial" w:hAnsi="Arial" w:cs="Arial"/>
          <w:sz w:val="22"/>
          <w:szCs w:val="22"/>
          <w:lang w:val="sr-Cyrl-CS"/>
        </w:rPr>
        <w:t>–Понуђени услови плаћања из понуде која се оцењује.</w:t>
      </w:r>
    </w:p>
    <w:p w:rsidR="00754D4B" w:rsidRPr="007C115D" w:rsidRDefault="00754D4B" w:rsidP="00754D4B">
      <w:pPr>
        <w:jc w:val="both"/>
        <w:rPr>
          <w:rFonts w:ascii="Arial" w:hAnsi="Arial" w:cs="Arial"/>
          <w:b/>
          <w:bCs/>
          <w:lang w:val="sr-Cyrl-BA"/>
        </w:rPr>
      </w:pPr>
      <w:r w:rsidRPr="00A331E9">
        <w:rPr>
          <w:rFonts w:ascii="Arial" w:hAnsi="Arial" w:cs="Arial"/>
          <w:b/>
          <w:bCs/>
          <w:sz w:val="22"/>
          <w:szCs w:val="22"/>
          <w:lang w:val="sr-Cyrl-BA"/>
        </w:rPr>
        <w:t>Последњи рок плаћања 150 дана који се не бодује</w:t>
      </w:r>
      <w:r>
        <w:rPr>
          <w:rFonts w:ascii="Arial" w:hAnsi="Arial" w:cs="Arial"/>
          <w:b/>
          <w:bCs/>
          <w:sz w:val="22"/>
          <w:szCs w:val="22"/>
          <w:lang w:val="sr-Cyrl-BA"/>
        </w:rPr>
        <w:t>.</w:t>
      </w:r>
    </w:p>
    <w:p w:rsidR="00754D4B" w:rsidRPr="00AF6AAE" w:rsidRDefault="00754D4B" w:rsidP="00E24DFE">
      <w:pPr>
        <w:ind w:right="-241"/>
        <w:jc w:val="both"/>
        <w:rPr>
          <w:rFonts w:ascii="Arial" w:hAnsi="Arial" w:cs="Arial"/>
          <w:b/>
          <w:bCs/>
          <w:sz w:val="22"/>
          <w:szCs w:val="22"/>
          <w:lang w:val="sr-Cyrl-BA"/>
        </w:rPr>
      </w:pPr>
      <w:r w:rsidRPr="00AF6AAE">
        <w:rPr>
          <w:rFonts w:ascii="Arial" w:hAnsi="Arial" w:cs="Arial"/>
          <w:b/>
          <w:bCs/>
          <w:sz w:val="22"/>
          <w:szCs w:val="22"/>
          <w:lang w:val="sr-Cyrl-BA"/>
        </w:rPr>
        <w:t>Израчунавање пондера вршиће се заокруживањем на две децимале.</w:t>
      </w:r>
    </w:p>
    <w:p w:rsidR="00152899" w:rsidRDefault="00152899" w:rsidP="00152899">
      <w:pPr>
        <w:tabs>
          <w:tab w:val="left" w:pos="0"/>
        </w:tabs>
        <w:jc w:val="both"/>
        <w:rPr>
          <w:lang w:val="sr-Cyrl-CS"/>
        </w:rPr>
      </w:pPr>
    </w:p>
    <w:p w:rsidR="00152899" w:rsidRDefault="000A1473" w:rsidP="00152899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  <w:t>11</w:t>
      </w:r>
      <w:r w:rsidR="00152899">
        <w:rPr>
          <w:lang w:val="sr-Cyrl-CS"/>
        </w:rPr>
        <w:t>.)</w:t>
      </w:r>
      <w:r>
        <w:rPr>
          <w:lang w:val="sr-Cyrl-CS"/>
        </w:rPr>
        <w:t xml:space="preserve"> </w:t>
      </w:r>
      <w:r w:rsidR="00152899">
        <w:rPr>
          <w:lang w:val="sr-Cyrl-CS"/>
        </w:rPr>
        <w:t>ПРИМЕНОМ МЕТОДОЛОГИЈЕ ДОДЕЛЕ ПОНДЕРА КОМИСИЈА ЈЕ УТВРДИЛА РАНГ ЛИСТУ ПОНУЂАЧА ЗА ПРЕДМ</w:t>
      </w:r>
      <w:r w:rsidR="003D2CEB">
        <w:rPr>
          <w:lang w:val="sr-Cyrl-CS"/>
        </w:rPr>
        <w:t>Е</w:t>
      </w:r>
      <w:r w:rsidR="00152899">
        <w:rPr>
          <w:lang w:val="sr-Cyrl-CS"/>
        </w:rPr>
        <w:t>ТНЕ ПАРТИЈЕ:</w:t>
      </w:r>
    </w:p>
    <w:p w:rsidR="002920CF" w:rsidRDefault="002920CF" w:rsidP="00152899">
      <w:pPr>
        <w:tabs>
          <w:tab w:val="left" w:pos="0"/>
        </w:tabs>
        <w:jc w:val="both"/>
        <w:rPr>
          <w:b/>
          <w:lang w:val="sr-Cyrl-CS"/>
        </w:rPr>
      </w:pPr>
    </w:p>
    <w:p w:rsidR="00CA255F" w:rsidRPr="00F16299" w:rsidRDefault="00CA255F" w:rsidP="00152899">
      <w:pPr>
        <w:tabs>
          <w:tab w:val="left" w:pos="0"/>
        </w:tabs>
        <w:jc w:val="both"/>
        <w:rPr>
          <w:lang w:val="sr-Cyrl-CS"/>
        </w:rPr>
      </w:pPr>
      <w:r w:rsidRPr="00F16299">
        <w:rPr>
          <w:lang w:val="sr-Cyrl-CS"/>
        </w:rPr>
        <w:t>С обзиром да је била само једна понуда за сваку партију ранг листу није могуће формирати.</w:t>
      </w:r>
    </w:p>
    <w:p w:rsidR="00152899" w:rsidRDefault="000A1473" w:rsidP="00152899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</w:r>
      <w:r w:rsidR="003150EC">
        <w:rPr>
          <w:lang w:val="sr-Cyrl-CS"/>
        </w:rPr>
        <w:t>1</w:t>
      </w:r>
      <w:r>
        <w:rPr>
          <w:lang w:val="sr-Cyrl-CS"/>
        </w:rPr>
        <w:t>2</w:t>
      </w:r>
      <w:r w:rsidR="002920CF">
        <w:rPr>
          <w:lang w:val="sr-Cyrl-CS"/>
        </w:rPr>
        <w:t>.) НАЗИВ ПОНУЂАЧА КОМЕ СЕ ДЕДЕЉУЈЕ УГОВОР А АКО ЈЕ ПОНУЂАЧ НАВЕО ДА ЋЕ НАБАВКУ ИЗВРШИТИ УЗ ПОМОЋ ПОДИЗВОЂАЧА И СВАКИ ДЕО УГОВОРА КОЈИ ЋЕ ИЗВРШИТИ ПОДИЗВОЂАЧ</w:t>
      </w:r>
    </w:p>
    <w:p w:rsidR="00CA255F" w:rsidRDefault="00E24DFE" w:rsidP="00CA255F">
      <w:pPr>
        <w:jc w:val="both"/>
        <w:rPr>
          <w:lang w:val="sr-Cyrl-CS"/>
        </w:rPr>
      </w:pPr>
      <w:r>
        <w:rPr>
          <w:lang w:val="sr-Cyrl-CS"/>
        </w:rPr>
        <w:tab/>
      </w:r>
      <w:r w:rsidR="00CB779E">
        <w:rPr>
          <w:lang w:val="sr-Cyrl-CS"/>
        </w:rPr>
        <w:t xml:space="preserve">По извршеном </w:t>
      </w:r>
      <w:r w:rsidR="00F16299">
        <w:rPr>
          <w:lang w:val="sr-Cyrl-CS"/>
        </w:rPr>
        <w:t>отварању понуда и стручној оцени</w:t>
      </w:r>
      <w:r w:rsidR="00CB779E">
        <w:rPr>
          <w:lang w:val="sr-Cyrl-CS"/>
        </w:rPr>
        <w:t>,</w:t>
      </w:r>
      <w:r w:rsidR="00F16299">
        <w:rPr>
          <w:lang w:val="sr-Cyrl-CS"/>
        </w:rPr>
        <w:t xml:space="preserve"> </w:t>
      </w:r>
      <w:r w:rsidR="002920CF">
        <w:rPr>
          <w:lang w:val="sr-Cyrl-CS"/>
        </w:rPr>
        <w:t>Комисија</w:t>
      </w:r>
      <w:r w:rsidR="00CB779E">
        <w:rPr>
          <w:lang w:val="sr-Cyrl-CS"/>
        </w:rPr>
        <w:t xml:space="preserve"> је припремила </w:t>
      </w:r>
      <w:r w:rsidR="009A0E36">
        <w:rPr>
          <w:lang w:val="sr-Cyrl-CS"/>
        </w:rPr>
        <w:t>предлог одлуке о додели уговора</w:t>
      </w:r>
      <w:r w:rsidR="002D6304">
        <w:rPr>
          <w:lang w:val="sr-Cyrl-CS"/>
        </w:rPr>
        <w:t xml:space="preserve"> </w:t>
      </w:r>
      <w:r w:rsidR="00CA255F">
        <w:rPr>
          <w:lang w:val="sr-Cyrl-CS"/>
        </w:rPr>
        <w:t xml:space="preserve">и </w:t>
      </w:r>
      <w:r w:rsidR="00CA255F" w:rsidRPr="00A350A2">
        <w:rPr>
          <w:lang w:val="sr-Cyrl-CS"/>
        </w:rPr>
        <w:t>констатује да је најповољнија понуда понуђача</w:t>
      </w:r>
      <w:r w:rsidR="00CA255F">
        <w:rPr>
          <w:lang w:val="sr-Cyrl-CS"/>
        </w:rPr>
        <w:t xml:space="preserve"> </w:t>
      </w:r>
      <w:r w:rsidR="00F16299">
        <w:rPr>
          <w:lang w:val="sr-Cyrl-CS"/>
        </w:rPr>
        <w:t>:</w:t>
      </w:r>
    </w:p>
    <w:p w:rsidR="00CA255F" w:rsidRDefault="00CA255F" w:rsidP="00CA255F"/>
    <w:p w:rsidR="00CA255F" w:rsidRPr="005E0438" w:rsidRDefault="00CA255F" w:rsidP="00CA255F">
      <w:pPr>
        <w:rPr>
          <w:lang w:val="sr-Cyrl-CS"/>
        </w:rPr>
      </w:pPr>
      <w:r w:rsidRPr="00D92577">
        <w:rPr>
          <w:b/>
          <w:lang w:val="sr-Cyrl-CS"/>
        </w:rPr>
        <w:t>„</w:t>
      </w:r>
      <w:r w:rsidRPr="00D92577">
        <w:rPr>
          <w:b/>
        </w:rPr>
        <w:t>PHOENIX PHARMA</w:t>
      </w:r>
      <w:r>
        <w:rPr>
          <w:lang w:val="sr-Cyrl-CS"/>
        </w:rPr>
        <w:t>“</w:t>
      </w:r>
      <w:r w:rsidRPr="00D92577">
        <w:rPr>
          <w:lang w:val="sr-Cyrl-CS"/>
        </w:rPr>
        <w:t xml:space="preserve"> </w:t>
      </w:r>
      <w:r>
        <w:rPr>
          <w:lang w:val="sr-Cyrl-CS"/>
        </w:rPr>
        <w:t>Д.О.О. БЕОГРАД ЗА ПАРТИЈЕ:</w:t>
      </w:r>
      <w:r>
        <w:t xml:space="preserve">, </w:t>
      </w:r>
      <w:r>
        <w:rPr>
          <w:lang w:val="sr-Cyrl-CS"/>
        </w:rPr>
        <w:t>1,2,4,5,6,7,8,10,11,12,13,14,15,16,17 и 18 на основу понуде број 01.5-15-7/2013 од 07.10.2013.године</w:t>
      </w:r>
    </w:p>
    <w:p w:rsidR="002920CF" w:rsidRDefault="00C96C3C" w:rsidP="00CA255F">
      <w:pPr>
        <w:jc w:val="both"/>
        <w:rPr>
          <w:lang w:val="sr-Cyrl-CS"/>
        </w:rPr>
      </w:pPr>
      <w:r>
        <w:rPr>
          <w:lang w:val="sr-Cyrl-CS"/>
        </w:rPr>
        <w:t xml:space="preserve">и </w:t>
      </w:r>
      <w:r w:rsidR="000A1473">
        <w:rPr>
          <w:lang w:val="sr-Cyrl-CS"/>
        </w:rPr>
        <w:t xml:space="preserve"> </w:t>
      </w:r>
      <w:r w:rsidR="00CA255F">
        <w:rPr>
          <w:lang w:val="sr-Cyrl-CS"/>
        </w:rPr>
        <w:t xml:space="preserve">предложила Наручиоцу </w:t>
      </w:r>
      <w:r w:rsidR="00F16299">
        <w:rPr>
          <w:lang w:val="sr-Cyrl-CS"/>
        </w:rPr>
        <w:t>да овом понуђачу додели уговор.</w:t>
      </w:r>
      <w:r w:rsidR="002920CF">
        <w:rPr>
          <w:lang w:val="sr-Cyrl-CS"/>
        </w:rPr>
        <w:t xml:space="preserve"> </w:t>
      </w:r>
    </w:p>
    <w:p w:rsidR="00F16299" w:rsidRPr="00F16299" w:rsidRDefault="00593835" w:rsidP="00F16299">
      <w:pPr>
        <w:ind w:firstLine="720"/>
        <w:jc w:val="both"/>
        <w:rPr>
          <w:b/>
          <w:lang w:val="sr-Cyrl-CS"/>
        </w:rPr>
      </w:pPr>
      <w:r w:rsidRPr="00F341B7">
        <w:rPr>
          <w:lang w:val="sr-Cyrl-CS"/>
        </w:rPr>
        <w:t xml:space="preserve">Уједно је </w:t>
      </w:r>
      <w:r w:rsidR="00F16299" w:rsidRPr="00F341B7">
        <w:rPr>
          <w:lang w:val="sr-Cyrl-CS"/>
        </w:rPr>
        <w:t xml:space="preserve">Комисија </w:t>
      </w:r>
      <w:r w:rsidRPr="00F341B7">
        <w:rPr>
          <w:lang w:val="sr-Cyrl-CS"/>
        </w:rPr>
        <w:t>утврдила да нису прибављене понуде</w:t>
      </w:r>
      <w:r w:rsidR="000A1473" w:rsidRPr="00F341B7">
        <w:rPr>
          <w:lang w:val="sr-Cyrl-CS"/>
        </w:rPr>
        <w:t xml:space="preserve"> з</w:t>
      </w:r>
      <w:r w:rsidR="00C96C3C" w:rsidRPr="00F341B7">
        <w:rPr>
          <w:lang w:val="sr-Cyrl-CS"/>
        </w:rPr>
        <w:t xml:space="preserve">а партије </w:t>
      </w:r>
      <w:r w:rsidRPr="00F341B7">
        <w:rPr>
          <w:lang w:val="sr-Cyrl-CS"/>
        </w:rPr>
        <w:t xml:space="preserve">број </w:t>
      </w:r>
      <w:r w:rsidR="00CA255F" w:rsidRPr="00F341B7">
        <w:rPr>
          <w:lang w:val="sr-Cyrl-CS"/>
        </w:rPr>
        <w:t>3 и 9</w:t>
      </w:r>
      <w:r w:rsidR="00F341B7">
        <w:rPr>
          <w:lang w:val="sr-Cyrl-CS"/>
        </w:rPr>
        <w:t xml:space="preserve"> </w:t>
      </w:r>
      <w:r w:rsidRPr="00F341B7">
        <w:rPr>
          <w:lang w:val="sr-Cyrl-CS"/>
        </w:rPr>
        <w:t>и</w:t>
      </w:r>
      <w:r w:rsidRPr="00F16299">
        <w:rPr>
          <w:lang w:val="sr-Cyrl-CS"/>
        </w:rPr>
        <w:t xml:space="preserve"> предл</w:t>
      </w:r>
      <w:r w:rsidR="000A1473" w:rsidRPr="00F16299">
        <w:rPr>
          <w:lang w:val="sr-Cyrl-CS"/>
        </w:rPr>
        <w:t>о</w:t>
      </w:r>
      <w:r w:rsidRPr="00F16299">
        <w:rPr>
          <w:lang w:val="sr-Cyrl-CS"/>
        </w:rPr>
        <w:t xml:space="preserve">жила да се за предметне партије </w:t>
      </w:r>
      <w:r w:rsidR="00F16299" w:rsidRPr="00F16299">
        <w:rPr>
          <w:lang w:val="sr-Cyrl-CS"/>
        </w:rPr>
        <w:t>уговор додели п</w:t>
      </w:r>
      <w:r w:rsidR="00CA255F" w:rsidRPr="00F16299">
        <w:rPr>
          <w:lang w:val="sr-Cyrl-CS"/>
        </w:rPr>
        <w:t>онуђачима за које се засигурно зна да могу извршити испоруку ових лекова</w:t>
      </w:r>
      <w:r w:rsidR="00F16299" w:rsidRPr="00F16299">
        <w:rPr>
          <w:lang w:val="sr-Cyrl-CS"/>
        </w:rPr>
        <w:t>, односно са понуђачем Д.О.О. „Ерма“ Београд ,за партију 3 и Д.О.О „ Вега“ Ваљево за партију 9.</w:t>
      </w:r>
      <w:r w:rsidR="00F341B7" w:rsidRPr="00F341B7">
        <w:rPr>
          <w:lang w:val="sr-Cyrl-CS"/>
        </w:rPr>
        <w:t xml:space="preserve"> </w:t>
      </w:r>
      <w:r w:rsidR="00F341B7">
        <w:rPr>
          <w:lang w:val="sr-Cyrl-CS"/>
        </w:rPr>
        <w:t>Укупна</w:t>
      </w:r>
      <w:r w:rsidR="00F341B7" w:rsidRPr="00F341B7">
        <w:rPr>
          <w:lang w:val="sr-Cyrl-CS"/>
        </w:rPr>
        <w:t xml:space="preserve"> вредност за партију  3 износи 19.892,20 ,а за партију 9 износи 5.490,00 динара без пдв-а</w:t>
      </w:r>
      <w:r w:rsidR="00F341B7">
        <w:rPr>
          <w:lang w:val="sr-Cyrl-CS"/>
        </w:rPr>
        <w:t>.</w:t>
      </w:r>
    </w:p>
    <w:p w:rsidR="00CA255F" w:rsidRPr="00F16299" w:rsidRDefault="00CA255F" w:rsidP="00CA255F">
      <w:pPr>
        <w:ind w:firstLine="720"/>
        <w:jc w:val="both"/>
        <w:rPr>
          <w:b/>
          <w:lang w:val="sr-Cyrl-CS"/>
        </w:rPr>
      </w:pPr>
      <w:r w:rsidRPr="00F16299">
        <w:rPr>
          <w:lang w:val="sr-Cyrl-CS"/>
        </w:rPr>
        <w:t>.</w:t>
      </w:r>
    </w:p>
    <w:p w:rsidR="00593835" w:rsidRPr="00F16299" w:rsidRDefault="00593835" w:rsidP="000A1473">
      <w:pPr>
        <w:ind w:firstLine="708"/>
        <w:jc w:val="both"/>
        <w:rPr>
          <w:lang w:val="sr-Cyrl-CS"/>
        </w:rPr>
      </w:pPr>
      <w:r w:rsidRPr="00F16299">
        <w:rPr>
          <w:lang w:val="sr-Cyrl-CS"/>
        </w:rPr>
        <w:t xml:space="preserve"> </w:t>
      </w:r>
    </w:p>
    <w:p w:rsidR="00593835" w:rsidRDefault="000A1473" w:rsidP="00593835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593835">
        <w:rPr>
          <w:lang w:val="sr-Cyrl-CS"/>
        </w:rPr>
        <w:t>Изабрани понуђачи извршава набавку самостално.</w:t>
      </w:r>
    </w:p>
    <w:p w:rsidR="000A1473" w:rsidRDefault="00B95746" w:rsidP="000A1473">
      <w:pPr>
        <w:ind w:firstLine="708"/>
        <w:jc w:val="both"/>
        <w:rPr>
          <w:lang w:val="sr-Cyrl-CS"/>
        </w:rPr>
      </w:pPr>
      <w:r>
        <w:rPr>
          <w:lang w:val="sr-Cyrl-CS"/>
        </w:rPr>
        <w:tab/>
      </w:r>
    </w:p>
    <w:p w:rsidR="00B95746" w:rsidRPr="000A1473" w:rsidRDefault="00B95746" w:rsidP="000A1473">
      <w:pPr>
        <w:ind w:firstLine="708"/>
        <w:jc w:val="both"/>
        <w:rPr>
          <w:lang w:val="sr-Cyrl-CS"/>
        </w:rPr>
      </w:pPr>
      <w:r w:rsidRPr="006C2B00">
        <w:rPr>
          <w:b/>
          <w:lang w:val="sr-Cyrl-CS"/>
        </w:rPr>
        <w:t xml:space="preserve"> Одговорно лице наручиоца прихватило је предлог Комисије за јавну набавку о </w:t>
      </w:r>
      <w:r w:rsidR="00BA7306" w:rsidRPr="006C2B00">
        <w:rPr>
          <w:b/>
          <w:lang w:val="sr-Cyrl-CS"/>
        </w:rPr>
        <w:t>додели уговора</w:t>
      </w:r>
      <w:r w:rsidRPr="006C2B00">
        <w:rPr>
          <w:b/>
          <w:lang w:val="sr-Cyrl-CS"/>
        </w:rPr>
        <w:t>,</w:t>
      </w:r>
      <w:r w:rsidR="000A1473">
        <w:rPr>
          <w:b/>
          <w:lang w:val="sr-Cyrl-CS"/>
        </w:rPr>
        <w:t xml:space="preserve"> </w:t>
      </w:r>
      <w:r w:rsidR="00CB779E">
        <w:rPr>
          <w:b/>
          <w:lang w:val="sr-Cyrl-CS"/>
        </w:rPr>
        <w:t>дат у Извештају о сруч</w:t>
      </w:r>
      <w:r w:rsidR="00E24DFE">
        <w:rPr>
          <w:b/>
          <w:lang w:val="sr-Cyrl-CS"/>
        </w:rPr>
        <w:t>ној оцени понуда број 01.5-1</w:t>
      </w:r>
      <w:r w:rsidR="00CA255F">
        <w:rPr>
          <w:b/>
          <w:lang w:val="sr-Cyrl-CS"/>
        </w:rPr>
        <w:t>5-</w:t>
      </w:r>
      <w:r w:rsidR="00CB779E">
        <w:rPr>
          <w:b/>
          <w:lang w:val="sr-Cyrl-CS"/>
        </w:rPr>
        <w:t xml:space="preserve">/2013 године од </w:t>
      </w:r>
      <w:r w:rsidR="00F16299">
        <w:rPr>
          <w:b/>
          <w:lang w:val="sr-Cyrl-CS"/>
        </w:rPr>
        <w:t>07</w:t>
      </w:r>
      <w:r w:rsidR="00CB779E">
        <w:rPr>
          <w:b/>
          <w:lang w:val="sr-Cyrl-CS"/>
        </w:rPr>
        <w:t>.</w:t>
      </w:r>
      <w:r w:rsidR="00F16299">
        <w:rPr>
          <w:b/>
          <w:lang w:val="sr-Cyrl-CS"/>
        </w:rPr>
        <w:t>10</w:t>
      </w:r>
      <w:r w:rsidR="00CB779E">
        <w:rPr>
          <w:b/>
          <w:lang w:val="sr-Cyrl-CS"/>
        </w:rPr>
        <w:t xml:space="preserve">.2013.године, </w:t>
      </w:r>
      <w:r w:rsidRPr="006C2B00">
        <w:rPr>
          <w:b/>
          <w:lang w:val="sr-Cyrl-CS"/>
        </w:rPr>
        <w:t xml:space="preserve"> те је на основу законског овлашћења из члана </w:t>
      </w:r>
      <w:r w:rsidR="00BA7306" w:rsidRPr="006C2B00">
        <w:rPr>
          <w:b/>
          <w:lang w:val="sr-Cyrl-CS"/>
        </w:rPr>
        <w:t>10</w:t>
      </w:r>
      <w:r w:rsidRPr="006C2B00">
        <w:rPr>
          <w:b/>
          <w:lang w:val="sr-Cyrl-CS"/>
        </w:rPr>
        <w:t>8. Закона о јавним набавкама донело одлуку  као у диспозитиву.</w:t>
      </w:r>
    </w:p>
    <w:p w:rsidR="00B95746" w:rsidRDefault="00593835" w:rsidP="00593835">
      <w:pPr>
        <w:tabs>
          <w:tab w:val="left" w:pos="540"/>
        </w:tabs>
        <w:jc w:val="both"/>
        <w:rPr>
          <w:lang w:val="sr-Cyrl-CS"/>
        </w:rPr>
      </w:pPr>
      <w:r>
        <w:rPr>
          <w:lang w:val="sr-Cyrl-CS"/>
        </w:rPr>
        <w:tab/>
      </w:r>
      <w:r w:rsidRPr="00F35BF4">
        <w:rPr>
          <w:lang w:val="sr-Cyrl-CS"/>
        </w:rPr>
        <w:t xml:space="preserve">  </w:t>
      </w:r>
    </w:p>
    <w:p w:rsidR="000A1473" w:rsidRDefault="000A1473" w:rsidP="00593835">
      <w:pPr>
        <w:tabs>
          <w:tab w:val="left" w:pos="540"/>
        </w:tabs>
        <w:jc w:val="both"/>
        <w:rPr>
          <w:b/>
          <w:lang w:val="sr-Cyrl-CS"/>
        </w:rPr>
      </w:pPr>
    </w:p>
    <w:p w:rsidR="00B95746" w:rsidRPr="00F35BF4" w:rsidRDefault="00B95746" w:rsidP="00B95746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B95746" w:rsidRPr="00F35BF4" w:rsidRDefault="00B95746" w:rsidP="00B95746">
      <w:pPr>
        <w:jc w:val="both"/>
        <w:rPr>
          <w:b/>
          <w:lang w:val="sr-Latn-CS"/>
        </w:rPr>
      </w:pPr>
      <w:r w:rsidRPr="00F35BF4">
        <w:rPr>
          <w:b/>
          <w:lang w:val="sr-Cyrl-CS"/>
        </w:rPr>
        <w:t xml:space="preserve">ПОУКА О ПРАВНОМ ЛЕКУ: </w:t>
      </w:r>
    </w:p>
    <w:p w:rsidR="00B95746" w:rsidRPr="00940CCC" w:rsidRDefault="00B95746" w:rsidP="00B95746">
      <w:pPr>
        <w:jc w:val="both"/>
        <w:rPr>
          <w:lang w:val="sr-Cyrl-CS"/>
        </w:rPr>
      </w:pPr>
      <w:r w:rsidRPr="00F35BF4">
        <w:rPr>
          <w:lang w:val="sr-Cyrl-CS"/>
        </w:rPr>
        <w:t xml:space="preserve">Против ове одлуке понуђач може поднети </w:t>
      </w:r>
      <w:r>
        <w:rPr>
          <w:lang w:val="sr-Cyrl-CS"/>
        </w:rPr>
        <w:t>н</w:t>
      </w:r>
      <w:r w:rsidRPr="00F35BF4">
        <w:rPr>
          <w:lang w:val="sr-Cyrl-CS"/>
        </w:rPr>
        <w:t>аручиоцу зах</w:t>
      </w:r>
      <w:r w:rsidR="00BA7306">
        <w:rPr>
          <w:lang w:val="sr-Cyrl-CS"/>
        </w:rPr>
        <w:t xml:space="preserve">тев за заштиту права у року </w:t>
      </w:r>
      <w:r w:rsidR="00BA7306" w:rsidRPr="00B21DD1">
        <w:rPr>
          <w:lang w:val="sr-Cyrl-CS"/>
        </w:rPr>
        <w:t xml:space="preserve">од </w:t>
      </w:r>
      <w:r w:rsidR="00B21DD1" w:rsidRPr="00B21DD1">
        <w:rPr>
          <w:lang w:val="sr-Cyrl-CS"/>
        </w:rPr>
        <w:t>10</w:t>
      </w:r>
      <w:r w:rsidRPr="00B21DD1">
        <w:rPr>
          <w:lang w:val="sr-Cyrl-CS"/>
        </w:rPr>
        <w:t xml:space="preserve"> дана</w:t>
      </w:r>
      <w:r w:rsidRPr="00F35BF4">
        <w:rPr>
          <w:lang w:val="sr-Cyrl-CS"/>
        </w:rPr>
        <w:t xml:space="preserve"> од дана </w:t>
      </w:r>
      <w:r w:rsidR="00BA7306">
        <w:rPr>
          <w:lang w:val="sr-Cyrl-CS"/>
        </w:rPr>
        <w:t xml:space="preserve">објављиваља одлуке о додели уговора на </w:t>
      </w:r>
      <w:r w:rsidR="00250362">
        <w:rPr>
          <w:lang w:val="sr-Cyrl-CS"/>
        </w:rPr>
        <w:t>П</w:t>
      </w:r>
      <w:r w:rsidR="00BA7306">
        <w:rPr>
          <w:lang w:val="sr-Cyrl-CS"/>
        </w:rPr>
        <w:t>орталу јавних набавки</w:t>
      </w:r>
      <w:r w:rsidR="00952251">
        <w:rPr>
          <w:lang w:val="sr-Latn-CS"/>
        </w:rPr>
        <w:t xml:space="preserve"> </w:t>
      </w:r>
      <w:r w:rsidR="00940CCC">
        <w:rPr>
          <w:lang w:val="sr-Cyrl-CS"/>
        </w:rPr>
        <w:t>сходно одредбама члана 149.став</w:t>
      </w:r>
      <w:r w:rsidR="00250362">
        <w:rPr>
          <w:lang w:val="sr-Cyrl-CS"/>
        </w:rPr>
        <w:t xml:space="preserve"> </w:t>
      </w:r>
      <w:r w:rsidR="00940CCC">
        <w:rPr>
          <w:lang w:val="sr-Cyrl-CS"/>
        </w:rPr>
        <w:t xml:space="preserve">6.ЗЈН. </w:t>
      </w:r>
    </w:p>
    <w:p w:rsidR="000A1473" w:rsidRDefault="000A1473" w:rsidP="00B95746">
      <w:pPr>
        <w:jc w:val="both"/>
        <w:rPr>
          <w:lang w:val="sr-Cyrl-CS"/>
        </w:rPr>
      </w:pPr>
    </w:p>
    <w:p w:rsidR="000A1473" w:rsidRDefault="000A1473" w:rsidP="00B95746">
      <w:pPr>
        <w:jc w:val="both"/>
        <w:rPr>
          <w:lang w:val="sr-Cyrl-CS"/>
        </w:rPr>
      </w:pPr>
    </w:p>
    <w:p w:rsidR="000A1473" w:rsidRPr="00F35BF4" w:rsidRDefault="000A1473" w:rsidP="00B95746">
      <w:pPr>
        <w:jc w:val="both"/>
        <w:rPr>
          <w:lang w:val="sr-Cyrl-CS"/>
        </w:rPr>
      </w:pPr>
    </w:p>
    <w:p w:rsidR="00B95746" w:rsidRDefault="00B95746" w:rsidP="00B95746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Директор</w:t>
      </w:r>
    </w:p>
    <w:p w:rsidR="00B95746" w:rsidRDefault="00B95746" w:rsidP="00B95746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____________________</w:t>
      </w:r>
    </w:p>
    <w:p w:rsidR="00C853BB" w:rsidRPr="00E24DFE" w:rsidRDefault="00B95746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</w:t>
      </w:r>
      <w:r w:rsidR="00354408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 </w:t>
      </w:r>
      <w:r w:rsidRPr="00512046">
        <w:rPr>
          <w:b/>
          <w:lang w:val="sr-Cyrl-CS"/>
        </w:rPr>
        <w:t xml:space="preserve">      </w:t>
      </w:r>
      <w:r>
        <w:rPr>
          <w:b/>
          <w:lang w:val="sr-Cyrl-CS"/>
        </w:rPr>
        <w:t>Прим д</w:t>
      </w:r>
      <w:r w:rsidRPr="00512046">
        <w:rPr>
          <w:b/>
          <w:sz w:val="22"/>
          <w:szCs w:val="22"/>
          <w:lang w:val="ru-RU"/>
        </w:rPr>
        <w:t xml:space="preserve">р </w:t>
      </w:r>
      <w:r w:rsidR="00354408">
        <w:rPr>
          <w:b/>
          <w:sz w:val="22"/>
          <w:szCs w:val="22"/>
          <w:lang w:val="ru-RU"/>
        </w:rPr>
        <w:t xml:space="preserve">мед </w:t>
      </w:r>
      <w:r w:rsidRPr="00512046">
        <w:rPr>
          <w:b/>
          <w:sz w:val="22"/>
          <w:szCs w:val="22"/>
          <w:lang w:val="ru-RU"/>
        </w:rPr>
        <w:t>Васа</w:t>
      </w:r>
      <w:r w:rsidR="00354408">
        <w:rPr>
          <w:b/>
          <w:sz w:val="22"/>
          <w:szCs w:val="22"/>
          <w:lang w:val="ru-RU"/>
        </w:rPr>
        <w:t xml:space="preserve"> С </w:t>
      </w:r>
      <w:r w:rsidRPr="00512046">
        <w:rPr>
          <w:b/>
          <w:sz w:val="22"/>
          <w:szCs w:val="22"/>
          <w:lang w:val="ru-RU"/>
        </w:rPr>
        <w:t xml:space="preserve"> Петровић</w:t>
      </w:r>
      <w:r w:rsidRPr="00512046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853BB" w:rsidRPr="00E24DFE" w:rsidSect="00E24DFE">
      <w:footerReference w:type="default" r:id="rId7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26C" w:rsidRDefault="00F9526C" w:rsidP="00FC4539">
      <w:r>
        <w:separator/>
      </w:r>
    </w:p>
  </w:endnote>
  <w:endnote w:type="continuationSeparator" w:id="1">
    <w:p w:rsidR="00F9526C" w:rsidRDefault="00F9526C" w:rsidP="00FC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5844"/>
      <w:docPartObj>
        <w:docPartGallery w:val="Page Numbers (Bottom of Page)"/>
        <w:docPartUnique/>
      </w:docPartObj>
    </w:sdtPr>
    <w:sdtContent>
      <w:p w:rsidR="00A71DF5" w:rsidRDefault="00F26EA4">
        <w:pPr>
          <w:pStyle w:val="Footer"/>
          <w:jc w:val="right"/>
        </w:pPr>
        <w:fldSimple w:instr=" PAGE   \* MERGEFORMAT ">
          <w:r w:rsidR="00F341B7">
            <w:rPr>
              <w:noProof/>
            </w:rPr>
            <w:t>6</w:t>
          </w:r>
        </w:fldSimple>
      </w:p>
    </w:sdtContent>
  </w:sdt>
  <w:p w:rsidR="00A71DF5" w:rsidRDefault="00A71D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26C" w:rsidRDefault="00F9526C" w:rsidP="00FC4539">
      <w:r>
        <w:separator/>
      </w:r>
    </w:p>
  </w:footnote>
  <w:footnote w:type="continuationSeparator" w:id="1">
    <w:p w:rsidR="00F9526C" w:rsidRDefault="00F9526C" w:rsidP="00FC4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050"/>
    <w:multiLevelType w:val="hybridMultilevel"/>
    <w:tmpl w:val="52ECADBA"/>
    <w:lvl w:ilvl="0" w:tplc="2DAA5EC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67307"/>
    <w:multiLevelType w:val="hybridMultilevel"/>
    <w:tmpl w:val="52ECADBA"/>
    <w:lvl w:ilvl="0" w:tplc="2DAA5EC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80391"/>
    <w:multiLevelType w:val="hybridMultilevel"/>
    <w:tmpl w:val="49E89794"/>
    <w:lvl w:ilvl="0" w:tplc="21340E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5B5F13"/>
    <w:multiLevelType w:val="hybridMultilevel"/>
    <w:tmpl w:val="3A542F8E"/>
    <w:lvl w:ilvl="0" w:tplc="0B227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B3EA4"/>
    <w:multiLevelType w:val="hybridMultilevel"/>
    <w:tmpl w:val="612C2D3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6F07"/>
    <w:multiLevelType w:val="hybridMultilevel"/>
    <w:tmpl w:val="6C0EC30E"/>
    <w:lvl w:ilvl="0" w:tplc="4B4AE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35D17"/>
    <w:multiLevelType w:val="hybridMultilevel"/>
    <w:tmpl w:val="52ECADBA"/>
    <w:lvl w:ilvl="0" w:tplc="2DAA5EC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537B25"/>
    <w:multiLevelType w:val="hybridMultilevel"/>
    <w:tmpl w:val="52ECADBA"/>
    <w:lvl w:ilvl="0" w:tplc="2DAA5EC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986ED6"/>
    <w:multiLevelType w:val="hybridMultilevel"/>
    <w:tmpl w:val="D3B419AA"/>
    <w:lvl w:ilvl="0" w:tplc="FDD45B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746"/>
    <w:rsid w:val="00002E4C"/>
    <w:rsid w:val="00037C5C"/>
    <w:rsid w:val="00087B88"/>
    <w:rsid w:val="00096EF6"/>
    <w:rsid w:val="000A1473"/>
    <w:rsid w:val="000A56D8"/>
    <w:rsid w:val="000D184E"/>
    <w:rsid w:val="000D4425"/>
    <w:rsid w:val="000D4615"/>
    <w:rsid w:val="00152899"/>
    <w:rsid w:val="001C6A3D"/>
    <w:rsid w:val="001E1229"/>
    <w:rsid w:val="00201270"/>
    <w:rsid w:val="00231A0C"/>
    <w:rsid w:val="00250362"/>
    <w:rsid w:val="002920CF"/>
    <w:rsid w:val="002D6304"/>
    <w:rsid w:val="003150EC"/>
    <w:rsid w:val="00354408"/>
    <w:rsid w:val="00390557"/>
    <w:rsid w:val="003B627B"/>
    <w:rsid w:val="003D076F"/>
    <w:rsid w:val="003D2CEB"/>
    <w:rsid w:val="00482245"/>
    <w:rsid w:val="0050342F"/>
    <w:rsid w:val="005155D1"/>
    <w:rsid w:val="00544EE6"/>
    <w:rsid w:val="0054696A"/>
    <w:rsid w:val="00593835"/>
    <w:rsid w:val="005F3938"/>
    <w:rsid w:val="006C2B00"/>
    <w:rsid w:val="006C4678"/>
    <w:rsid w:val="007267AB"/>
    <w:rsid w:val="00734033"/>
    <w:rsid w:val="00735B00"/>
    <w:rsid w:val="00754D4B"/>
    <w:rsid w:val="007D1487"/>
    <w:rsid w:val="007F3C03"/>
    <w:rsid w:val="008B7DB8"/>
    <w:rsid w:val="00915BDB"/>
    <w:rsid w:val="00940CCC"/>
    <w:rsid w:val="00952251"/>
    <w:rsid w:val="009A0E36"/>
    <w:rsid w:val="00A05F19"/>
    <w:rsid w:val="00A21C39"/>
    <w:rsid w:val="00A343E6"/>
    <w:rsid w:val="00A71DF5"/>
    <w:rsid w:val="00AB30A9"/>
    <w:rsid w:val="00B21DD1"/>
    <w:rsid w:val="00B4137D"/>
    <w:rsid w:val="00B47297"/>
    <w:rsid w:val="00B95746"/>
    <w:rsid w:val="00BA7306"/>
    <w:rsid w:val="00BB4EAF"/>
    <w:rsid w:val="00C71517"/>
    <w:rsid w:val="00C853BB"/>
    <w:rsid w:val="00C96C3C"/>
    <w:rsid w:val="00CA255F"/>
    <w:rsid w:val="00CB6781"/>
    <w:rsid w:val="00CB779E"/>
    <w:rsid w:val="00D32E12"/>
    <w:rsid w:val="00D443EE"/>
    <w:rsid w:val="00DF3B49"/>
    <w:rsid w:val="00E14433"/>
    <w:rsid w:val="00E24334"/>
    <w:rsid w:val="00E24DFE"/>
    <w:rsid w:val="00E33C0E"/>
    <w:rsid w:val="00E743B7"/>
    <w:rsid w:val="00EA53B8"/>
    <w:rsid w:val="00ED515A"/>
    <w:rsid w:val="00F16299"/>
    <w:rsid w:val="00F26EA4"/>
    <w:rsid w:val="00F341B7"/>
    <w:rsid w:val="00F77DFC"/>
    <w:rsid w:val="00F866AE"/>
    <w:rsid w:val="00F909DB"/>
    <w:rsid w:val="00F9526C"/>
    <w:rsid w:val="00FC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B95746"/>
    <w:pPr>
      <w:spacing w:before="240" w:after="60"/>
      <w:outlineLvl w:val="6"/>
    </w:pPr>
    <w:rPr>
      <w:rFonts w:ascii="Calibri" w:hAnsi="Calibri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95746"/>
    <w:rPr>
      <w:rFonts w:ascii="Calibri" w:eastAsia="Times New Roman" w:hAnsi="Calibri" w:cs="Times New Roman"/>
      <w:sz w:val="24"/>
      <w:szCs w:val="24"/>
      <w:lang w:val="en-GB" w:eastAsia="sr-Cyrl-CS"/>
    </w:rPr>
  </w:style>
  <w:style w:type="paragraph" w:styleId="BodyText">
    <w:name w:val="Body Text"/>
    <w:basedOn w:val="Normal"/>
    <w:link w:val="BodyTextChar"/>
    <w:rsid w:val="00B957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57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1487"/>
    <w:pPr>
      <w:ind w:left="720"/>
      <w:contextualSpacing/>
    </w:pPr>
  </w:style>
  <w:style w:type="paragraph" w:customStyle="1" w:styleId="TableContents">
    <w:name w:val="Table Contents"/>
    <w:basedOn w:val="Normal"/>
    <w:rsid w:val="00754D4B"/>
    <w:pPr>
      <w:suppressLineNumbers/>
      <w:suppressAutoHyphens/>
      <w:spacing w:line="270" w:lineRule="atLeast"/>
    </w:pPr>
    <w:rPr>
      <w:sz w:val="23"/>
      <w:szCs w:val="20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6C2B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B00"/>
    <w:rPr>
      <w:color w:val="800080"/>
      <w:u w:val="single"/>
    </w:rPr>
  </w:style>
  <w:style w:type="paragraph" w:customStyle="1" w:styleId="xl65">
    <w:name w:val="xl65"/>
    <w:basedOn w:val="Normal"/>
    <w:rsid w:val="006C2B00"/>
    <w:pPr>
      <w:spacing w:before="100" w:beforeAutospacing="1" w:after="100" w:afterAutospacing="1"/>
    </w:pPr>
    <w:rPr>
      <w:rFonts w:ascii="MS Sans Serif" w:hAnsi="MS Sans Serif"/>
      <w:lang w:val="sr-Latn-CS" w:eastAsia="sr-Latn-CS"/>
    </w:rPr>
  </w:style>
  <w:style w:type="paragraph" w:customStyle="1" w:styleId="xl66">
    <w:name w:val="xl66"/>
    <w:basedOn w:val="Normal"/>
    <w:rsid w:val="006C2B00"/>
    <w:pPr>
      <w:spacing w:before="100" w:beforeAutospacing="1" w:after="100" w:afterAutospacing="1"/>
    </w:pPr>
    <w:rPr>
      <w:rFonts w:ascii="MS Sans Serif" w:hAnsi="MS Sans Serif"/>
      <w:b/>
      <w:bCs/>
      <w:lang w:val="sr-Latn-CS" w:eastAsia="sr-Latn-CS"/>
    </w:rPr>
  </w:style>
  <w:style w:type="paragraph" w:customStyle="1" w:styleId="xl68">
    <w:name w:val="xl68"/>
    <w:basedOn w:val="Normal"/>
    <w:rsid w:val="006C2B00"/>
    <w:pPr>
      <w:spacing w:before="100" w:beforeAutospacing="1" w:after="100" w:afterAutospacing="1"/>
    </w:pPr>
    <w:rPr>
      <w:rFonts w:ascii="MS Sans Serif" w:hAnsi="MS Sans Serif"/>
      <w:lang w:val="sr-Latn-CS" w:eastAsia="sr-Latn-CS"/>
    </w:rPr>
  </w:style>
  <w:style w:type="paragraph" w:customStyle="1" w:styleId="xl69">
    <w:name w:val="xl69"/>
    <w:basedOn w:val="Normal"/>
    <w:rsid w:val="006C2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lang w:val="sr-Latn-CS" w:eastAsia="sr-Latn-CS"/>
    </w:rPr>
  </w:style>
  <w:style w:type="paragraph" w:customStyle="1" w:styleId="xl70">
    <w:name w:val="xl70"/>
    <w:basedOn w:val="Normal"/>
    <w:rsid w:val="006C2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b/>
      <w:bCs/>
      <w:lang w:val="sr-Latn-CS" w:eastAsia="sr-Latn-CS"/>
    </w:rPr>
  </w:style>
  <w:style w:type="paragraph" w:customStyle="1" w:styleId="xl71">
    <w:name w:val="xl71"/>
    <w:basedOn w:val="Normal"/>
    <w:rsid w:val="006C2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lang w:val="sr-Latn-CS" w:eastAsia="sr-Latn-CS"/>
    </w:rPr>
  </w:style>
  <w:style w:type="paragraph" w:customStyle="1" w:styleId="xl72">
    <w:name w:val="xl72"/>
    <w:basedOn w:val="Normal"/>
    <w:rsid w:val="006C2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color w:val="000000"/>
      <w:lang w:val="sr-Latn-CS" w:eastAsia="sr-Latn-CS"/>
    </w:rPr>
  </w:style>
  <w:style w:type="paragraph" w:customStyle="1" w:styleId="xl73">
    <w:name w:val="xl73"/>
    <w:basedOn w:val="Normal"/>
    <w:rsid w:val="006C2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b/>
      <w:bCs/>
      <w:color w:val="000000"/>
      <w:lang w:val="sr-Latn-CS" w:eastAsia="sr-Latn-CS"/>
    </w:rPr>
  </w:style>
  <w:style w:type="paragraph" w:customStyle="1" w:styleId="xl74">
    <w:name w:val="xl74"/>
    <w:basedOn w:val="Normal"/>
    <w:rsid w:val="006C2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color w:val="000000"/>
      <w:lang w:val="sr-Latn-CS" w:eastAsia="sr-Latn-CS"/>
    </w:rPr>
  </w:style>
  <w:style w:type="paragraph" w:customStyle="1" w:styleId="xl75">
    <w:name w:val="xl75"/>
    <w:basedOn w:val="Normal"/>
    <w:rsid w:val="006C2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lang w:val="sr-Latn-CS" w:eastAsia="sr-Latn-CS"/>
    </w:rPr>
  </w:style>
  <w:style w:type="paragraph" w:customStyle="1" w:styleId="xl76">
    <w:name w:val="xl76"/>
    <w:basedOn w:val="Normal"/>
    <w:rsid w:val="006C2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color w:val="000000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FC453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5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453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5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C96C3C"/>
    <w:pPr>
      <w:pBdr>
        <w:top w:val="single" w:sz="4" w:space="0" w:color="4BACC6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color w:val="FFFFFF"/>
      <w:sz w:val="20"/>
      <w:szCs w:val="20"/>
      <w:lang w:val="sr-Latn-CS" w:eastAsia="sr-Latn-CS"/>
    </w:rPr>
  </w:style>
  <w:style w:type="paragraph" w:customStyle="1" w:styleId="xl77">
    <w:name w:val="xl77"/>
    <w:basedOn w:val="Normal"/>
    <w:rsid w:val="00C9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sr-Latn-CS" w:eastAsia="sr-Latn-CS"/>
    </w:rPr>
  </w:style>
  <w:style w:type="paragraph" w:customStyle="1" w:styleId="Default">
    <w:name w:val="Default"/>
    <w:rsid w:val="00E743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dzindjija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</dc:creator>
  <cp:keywords/>
  <dc:description/>
  <cp:lastModifiedBy>andjelka</cp:lastModifiedBy>
  <cp:revision>38</cp:revision>
  <cp:lastPrinted>2013-10-08T07:57:00Z</cp:lastPrinted>
  <dcterms:created xsi:type="dcterms:W3CDTF">2013-05-22T11:37:00Z</dcterms:created>
  <dcterms:modified xsi:type="dcterms:W3CDTF">2013-10-08T07:59:00Z</dcterms:modified>
</cp:coreProperties>
</file>